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Helvetica" w:cs="Helvetica" w:hAnsi="Helvetica" w:eastAsia="Helvetica"/>
          <w:b w:val="1"/>
          <w:bCs w:val="1"/>
          <w:sz w:val="124"/>
          <w:szCs w:val="124"/>
        </w:rPr>
      </w:pPr>
    </w:p>
    <w:p>
      <w:pPr>
        <w:pStyle w:val="Normal.0"/>
        <w:jc w:val="center"/>
        <w:rPr>
          <w:rFonts w:ascii="Helvetica" w:cs="Helvetica" w:hAnsi="Helvetica" w:eastAsia="Helvetica"/>
          <w:b w:val="1"/>
          <w:bCs w:val="1"/>
          <w:outline w:val="0"/>
          <w:color w:val="6d8e43"/>
          <w:sz w:val="118"/>
          <w:szCs w:val="118"/>
          <w:u w:color="6d8e43"/>
          <w14:textFill>
            <w14:solidFill>
              <w14:srgbClr w14:val="6D8E43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6d8e43"/>
          <w:sz w:val="118"/>
          <w:szCs w:val="118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Ü</w:t>
      </w:r>
      <w:r>
        <w:rPr>
          <w:rFonts w:ascii="Helvetica" w:hAnsi="Helvetica"/>
          <w:b w:val="1"/>
          <w:bCs w:val="1"/>
          <w:outline w:val="0"/>
          <w:color w:val="6d8e43"/>
          <w:sz w:val="118"/>
          <w:szCs w:val="118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bersicht:</w:t>
      </w:r>
    </w:p>
    <w:p>
      <w:pPr>
        <w:pStyle w:val="Normal.0"/>
        <w:jc w:val="center"/>
      </w:pPr>
      <w:r>
        <w:rPr>
          <w:rFonts w:ascii="Helvetica" w:hAnsi="Helvetica"/>
          <w:b w:val="1"/>
          <w:bCs w:val="1"/>
          <w:outline w:val="0"/>
          <w:color w:val="6d8e43"/>
          <w:sz w:val="118"/>
          <w:szCs w:val="118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Gehalts-Extras 2027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6d8e43"/>
          <w:sz w:val="96"/>
          <w:szCs w:val="96"/>
          <w:u w:color="6d8e43"/>
          <w14:textFill>
            <w14:solidFill>
              <w14:srgbClr w14:val="6D8E43"/>
            </w14:solidFill>
          </w14:textFill>
        </w:rPr>
        <w:br w:type="page"/>
      </w:r>
    </w:p>
    <w:p>
      <w:pPr>
        <w:pStyle w:val="Normal.0"/>
        <w:spacing w:line="360" w:lineRule="auto"/>
        <w:rPr>
          <w:rFonts w:ascii="Helvetica" w:cs="Helvetica" w:hAnsi="Helvetica" w:eastAsia="Helvetica"/>
          <w:b w:val="1"/>
          <w:bCs w:val="1"/>
          <w:outline w:val="0"/>
          <w:color w:val="6d8e43"/>
          <w:sz w:val="96"/>
          <w:szCs w:val="96"/>
          <w:u w:color="6d8e43"/>
          <w14:textFill>
            <w14:solidFill>
              <w14:srgbClr w14:val="6D8E43"/>
            </w14:solidFill>
          </w14:textFill>
        </w:rPr>
      </w:pPr>
      <w:r>
        <w:rPr>
          <w:rFonts w:ascii="Helvetica" w:hAnsi="Helvetica" w:hint="default"/>
          <w:b w:val="1"/>
          <w:bCs w:val="1"/>
          <w:outline w:val="0"/>
          <w:color w:val="6d8e43"/>
          <w:sz w:val="36"/>
          <w:szCs w:val="36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Ü</w:t>
      </w:r>
      <w:r>
        <w:rPr>
          <w:rFonts w:ascii="Helvetica" w:hAnsi="Helvetica"/>
          <w:b w:val="1"/>
          <w:bCs w:val="1"/>
          <w:outline w:val="0"/>
          <w:color w:val="6d8e43"/>
          <w:sz w:val="36"/>
          <w:szCs w:val="36"/>
          <w:u w:color="6d8e43"/>
          <w:rtl w:val="0"/>
          <w:lang w:val="de-DE"/>
          <w14:textFill>
            <w14:solidFill>
              <w14:srgbClr w14:val="6D8E43"/>
            </w14:solidFill>
          </w14:textFill>
        </w:rPr>
        <w:t>bersicht</w:t>
      </w:r>
      <w:r>
        <w:rPr>
          <w:rFonts w:ascii="Helvetica" w:hAnsi="Helvetica"/>
          <w:b w:val="1"/>
          <w:bCs w:val="1"/>
          <w:sz w:val="36"/>
          <w:szCs w:val="36"/>
          <w:rtl w:val="0"/>
          <w:lang w:val="de-DE"/>
        </w:rPr>
        <w:t xml:space="preserve">: </w:t>
      </w:r>
      <w:r>
        <w:rPr>
          <w:rFonts w:ascii="Helvetica" w:hAnsi="Helvetica"/>
          <w:b w:val="1"/>
          <w:bCs w:val="1"/>
          <w:sz w:val="36"/>
          <w:szCs w:val="36"/>
          <w:rtl w:val="0"/>
          <w:lang w:val="de-DE"/>
        </w:rPr>
        <w:t>Gehalts-Extras 2027</w:t>
      </w:r>
    </w:p>
    <w:tbl>
      <w:tblPr>
        <w:tblW w:w="879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796"/>
        <w:gridCol w:w="2681"/>
        <w:gridCol w:w="3313"/>
      </w:tblGrid>
      <w:tr>
        <w:tblPrEx>
          <w:shd w:val="clear" w:color="auto" w:fill="ced7e7"/>
        </w:tblPrEx>
        <w:trPr>
          <w:trHeight w:val="291" w:hRule="atLeast"/>
        </w:trPr>
        <w:tc>
          <w:tcPr>
            <w:tcW w:type="dxa" w:w="5477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ffffff" w:sz="8" w:space="0" w:shadow="0" w:frame="0"/>
              <w:right w:val="single" w:color="000000" w:sz="1" w:space="0" w:shadow="0" w:frame="0"/>
            </w:tcBorders>
            <w:shd w:val="clear" w:color="auto" w:fill="6d8e43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/>
        </w:tc>
        <w:tc>
          <w:tcPr>
            <w:tcW w:type="dxa" w:w="331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6d8e43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4894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57" w:right="57" w:firstLine="0"/>
              <w:jc w:val="left"/>
              <w:outlineLvl w:val="9"/>
              <w:rPr>
                <w:rtl w:val="0"/>
              </w:rPr>
            </w:pPr>
            <w:r>
              <w:rPr>
                <w:rFonts w:ascii="Helvetica" w:cs="Arial Unicode MS" w:hAnsi="Helvetica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Extra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4894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Beispiel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4894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Das gilt 2027</w:t>
            </w:r>
          </w:p>
        </w:tc>
      </w:tr>
      <w:tr>
        <w:tblPrEx>
          <w:shd w:val="clear" w:color="auto" w:fill="ced7e7"/>
        </w:tblPrEx>
        <w:trPr>
          <w:trHeight w:val="282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Aufmerksamkeiten bei pers</w:t>
            </w:r>
            <w:r>
              <w:rPr>
                <w:rFonts w:ascii="Helvetica" w:hAnsi="Helvetica" w:hint="default"/>
                <w:b w:val="1"/>
                <w:bCs w:val="1"/>
                <w:rtl w:val="0"/>
                <w:lang w:val="de-DE"/>
              </w:rPr>
              <w:t>ö</w:t>
            </w: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nlichen Ereignissen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Blumen zum Geburtstag, Geschenk zur Hochzeit oder zum Dienstjubil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um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 xml:space="preserve">Sachgeschenke bis 60 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€ </w:t>
            </w:r>
            <w:r>
              <w:rPr>
                <w:rFonts w:ascii="Helvetica" w:hAnsi="Helvetica"/>
                <w:rtl w:val="0"/>
                <w:lang w:val="de-DE"/>
              </w:rPr>
              <w:t>brutto je pers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nlichem Anlass geh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ren nicht zum Arbeitslohn. Achtung: Keine Geldgeschenke! Die 60-</w:t>
            </w:r>
            <w:r>
              <w:rPr>
                <w:rFonts w:ascii="Helvetica" w:hAnsi="Helvetica" w:hint="default"/>
                <w:rtl w:val="0"/>
                <w:lang w:val="de-DE"/>
              </w:rPr>
              <w:t>€</w:t>
            </w:r>
            <w:r>
              <w:rPr>
                <w:rFonts w:ascii="Helvetica" w:hAnsi="Helvetica"/>
                <w:rtl w:val="0"/>
                <w:lang w:val="de-DE"/>
              </w:rPr>
              <w:t>-Grenze gilt je Anlass und unabh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ngig von der monatlichen 50-</w:t>
            </w:r>
            <w:r>
              <w:rPr>
                <w:rFonts w:ascii="Helvetica" w:hAnsi="Helvetica" w:hint="default"/>
                <w:rtl w:val="0"/>
                <w:lang w:val="de-DE"/>
              </w:rPr>
              <w:t>€</w:t>
            </w:r>
            <w:r>
              <w:rPr>
                <w:rFonts w:ascii="Helvetica" w:hAnsi="Helvetica"/>
                <w:rtl w:val="0"/>
                <w:lang w:val="de-DE"/>
              </w:rPr>
              <w:t>-Sachbezugsgrenze (R 19.6 Lohnsteuerrichtlinien, LStR).</w:t>
            </w:r>
          </w:p>
        </w:tc>
      </w:tr>
      <w:tr>
        <w:tblPrEx>
          <w:shd w:val="clear" w:color="auto" w:fill="ced7e7"/>
        </w:tblPrEx>
        <w:trPr>
          <w:trHeight w:val="366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Erholungsbeihilfe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Zuschuss zum Urlaub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 xml:space="preserve">Pro Kalenderjahr bis zu 156 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€ </w:t>
            </w:r>
            <w:r>
              <w:rPr>
                <w:rFonts w:ascii="Helvetica" w:hAnsi="Helvetica"/>
                <w:rtl w:val="0"/>
                <w:lang w:val="de-DE"/>
              </w:rPr>
              <w:t>f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r den Arbeitnehmer, 104 Euro f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 xml:space="preserve">r Ehegatten und 52 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€ </w:t>
            </w:r>
            <w:r>
              <w:rPr>
                <w:rFonts w:ascii="Helvetica" w:hAnsi="Helvetica"/>
                <w:rtl w:val="0"/>
                <w:lang w:val="de-DE"/>
              </w:rPr>
              <w:t>je Kind. Der Verein versteuert die Beihilfe pauschal mit 25 %; dann bleibt sie sozialversicherungsfrei. Die Verwendung zu Erholungszwecken muss sichergestellt sein (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 </w:t>
            </w:r>
            <w:r>
              <w:rPr>
                <w:rFonts w:ascii="Helvetica" w:hAnsi="Helvetica"/>
                <w:rtl w:val="0"/>
                <w:lang w:val="de-DE"/>
              </w:rPr>
              <w:t>40 Abs. 2 Einkommensteuergesetz, EStG).</w:t>
            </w:r>
          </w:p>
        </w:tc>
      </w:tr>
      <w:tr>
        <w:tblPrEx>
          <w:shd w:val="clear" w:color="auto" w:fill="ced7e7"/>
        </w:tblPrEx>
        <w:trPr>
          <w:trHeight w:val="254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Gesundheitsf</w:t>
            </w:r>
            <w:r>
              <w:rPr>
                <w:rFonts w:ascii="Helvetica" w:hAnsi="Helvetica" w:hint="default"/>
                <w:b w:val="1"/>
                <w:bCs w:val="1"/>
                <w:rtl w:val="0"/>
                <w:lang w:val="de-DE"/>
              </w:rPr>
              <w:t>ö</w:t>
            </w: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rderung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Zertifizierter R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ckenkurs oder Gesundheitskurs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 xml:space="preserve">Bis 600 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€ </w:t>
            </w:r>
            <w:r>
              <w:rPr>
                <w:rFonts w:ascii="Helvetica" w:hAnsi="Helvetica"/>
                <w:rtl w:val="0"/>
                <w:lang w:val="de-DE"/>
              </w:rPr>
              <w:t>je Mitarbeiter und Kalenderjahr steuerfrei, wenn die Ma</w:t>
            </w:r>
            <w:r>
              <w:rPr>
                <w:rFonts w:ascii="Helvetica" w:hAnsi="Helvetica" w:hint="default"/>
                <w:rtl w:val="0"/>
                <w:lang w:val="de-DE"/>
              </w:rPr>
              <w:t>ß</w:t>
            </w:r>
            <w:r>
              <w:rPr>
                <w:rFonts w:ascii="Helvetica" w:hAnsi="Helvetica"/>
                <w:rtl w:val="0"/>
                <w:lang w:val="de-DE"/>
              </w:rPr>
              <w:t xml:space="preserve">nahme die Anforderungen der 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§§ </w:t>
            </w:r>
            <w:r>
              <w:rPr>
                <w:rFonts w:ascii="Helvetica" w:hAnsi="Helvetica"/>
                <w:rtl w:val="0"/>
                <w:lang w:val="de-DE"/>
              </w:rPr>
              <w:t>20, 20b Sozialgesetzbuch V erf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llt. Nur zus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tzlich zum ohnehin geschuldeten Arbeitslohn (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 </w:t>
            </w:r>
            <w:r>
              <w:rPr>
                <w:rFonts w:ascii="Helvetica" w:hAnsi="Helvetica"/>
                <w:rtl w:val="0"/>
                <w:lang w:val="de-DE"/>
              </w:rPr>
              <w:t xml:space="preserve">3 Nr. 34 EStG). </w:t>
            </w:r>
          </w:p>
        </w:tc>
      </w:tr>
      <w:tr>
        <w:tblPrEx>
          <w:shd w:val="clear" w:color="auto" w:fill="ced7e7"/>
        </w:tblPrEx>
        <w:trPr>
          <w:trHeight w:val="170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Getr</w:t>
            </w:r>
            <w:r>
              <w:rPr>
                <w:rFonts w:ascii="Helvetica" w:hAnsi="Helvetica" w:hint="default"/>
                <w:b w:val="1"/>
                <w:bCs w:val="1"/>
                <w:rtl w:val="0"/>
                <w:lang w:val="de-DE"/>
              </w:rPr>
              <w:t>ä</w:t>
            </w: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nke und Genussmittel am Arbeitsplatz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Kaffee, Tee, Wasser in der Gesch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ftsstelle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>Kostenlose oder verbilligte Getr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nke und Genussmittel zum Verzehr im Betrieb geh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ren als Aufmerksamkeit nicht zum Arbeitslohn (R 19.6 LStR).</w:t>
            </w:r>
          </w:p>
        </w:tc>
      </w:tr>
      <w:tr>
        <w:tblPrEx>
          <w:shd w:val="clear" w:color="auto" w:fill="ced7e7"/>
        </w:tblPrEx>
        <w:trPr>
          <w:trHeight w:val="366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Fahrtkostenzuschuss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Mitarbeiter f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hrt t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glich zur Gesch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ftsstelle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>Die Fahrtkostenpauschale betr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 xml:space="preserve">gt 0,38 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€ </w:t>
            </w:r>
            <w:r>
              <w:rPr>
                <w:rFonts w:ascii="Helvetica" w:hAnsi="Helvetica"/>
                <w:rtl w:val="0"/>
                <w:lang w:val="de-DE"/>
              </w:rPr>
              <w:t>je Entfernungskilometer zwischen Wohnung und erster T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tigkeitsst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tte ab dem ersten Kilometer. Einen entsprechenden zus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tzlichen Fahrtkostenzuschuss k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nnen Sie grunds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tzlich mit 15 % pauschal versteuern; er bleibt dann sozialversicherungsfrei (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 </w:t>
            </w:r>
            <w:r>
              <w:rPr>
                <w:rFonts w:ascii="Helvetica" w:hAnsi="Helvetica"/>
                <w:rtl w:val="0"/>
                <w:lang w:val="de-DE"/>
              </w:rPr>
              <w:t>40 Abs. 2 EStG).</w:t>
            </w:r>
          </w:p>
        </w:tc>
      </w:tr>
      <w:tr>
        <w:tblPrEx>
          <w:shd w:val="clear" w:color="auto" w:fill="ced7e7"/>
        </w:tblPrEx>
        <w:trPr>
          <w:trHeight w:val="338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Jobticket/</w:t>
            </w: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Deutschlandticket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 xml:space="preserve">Verein 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bernimmt das Deutschlandticket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>Zus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tzlich zum Arbeitslohn gew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hrte Zusch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sse und Tickets f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 xml:space="preserve">r den 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 xml:space="preserve">ffentlichen Personenverkehr sind nach 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 </w:t>
            </w:r>
            <w:r>
              <w:rPr>
                <w:rFonts w:ascii="Helvetica" w:hAnsi="Helvetica"/>
                <w:rtl w:val="0"/>
                <w:lang w:val="de-DE"/>
              </w:rPr>
              <w:t>3 Nr. 15 EStG steuerfrei. Die steuerfreie Leistung mindert die Entfernungspauschale des Mitarbeiters. Alternative: 25-%-Pauschalversteuerung; dann bleibt die Entfernungspauschale erhalten.</w:t>
            </w:r>
          </w:p>
        </w:tc>
      </w:tr>
      <w:tr>
        <w:tblPrEx>
          <w:shd w:val="clear" w:color="auto" w:fill="ced7e7"/>
        </w:tblPrEx>
        <w:trPr>
          <w:trHeight w:val="366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Kinderbetreuung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Zuschuss zu Kindergarten oder Kita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>Die tats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chlichen Kosten f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r die Unterbringung und Betreuung nicht schulpflichtiger Kinder k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 xml:space="preserve">nnen steuer- und beitragsfrei 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bernommen werden. Voraussetzung: zus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tzlich zum ohnehin geschuldeten Arbeitslohn und Nachweis der Kosten (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 </w:t>
            </w:r>
            <w:r>
              <w:rPr>
                <w:rFonts w:ascii="Helvetica" w:hAnsi="Helvetica"/>
                <w:rtl w:val="0"/>
                <w:lang w:val="de-DE"/>
              </w:rPr>
              <w:t>3 Nr. 33 EStG). Eine feste H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chstgrenze gibt es hier nicht.</w:t>
            </w:r>
          </w:p>
        </w:tc>
      </w:tr>
      <w:tr>
        <w:tblPrEx>
          <w:shd w:val="clear" w:color="auto" w:fill="ced7e7"/>
        </w:tblPrEx>
        <w:trPr>
          <w:trHeight w:val="338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Laptop, Tablet oder Smartphone zur privaten Mitbenutzung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Vereins-Laptop darf auch privat genutzt werden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>Die private Nutzung betrieblicher Datenverarbeitungs- und Telekommunikationsger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te ist steuerfrei (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 </w:t>
            </w:r>
            <w:r>
              <w:rPr>
                <w:rFonts w:ascii="Helvetica" w:hAnsi="Helvetica"/>
                <w:rtl w:val="0"/>
                <w:lang w:val="de-DE"/>
              </w:rPr>
              <w:t>3 Nr. 45 EStG). Voraussetzung: Das Ger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 bleibt Eigentum des Vereins. Auch Zubeh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r, Software und damit zusammenh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ngende Dienstleistungen k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nnen erfasst sein.</w:t>
            </w:r>
          </w:p>
        </w:tc>
      </w:tr>
      <w:tr>
        <w:tblPrEx>
          <w:shd w:val="clear" w:color="auto" w:fill="ced7e7"/>
        </w:tblPrEx>
        <w:trPr>
          <w:trHeight w:val="170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 xml:space="preserve">PC oder Tablet wird </w:t>
            </w:r>
            <w:r>
              <w:rPr>
                <w:rFonts w:ascii="Helvetica" w:hAnsi="Helvetica" w:hint="default"/>
                <w:b w:val="1"/>
                <w:bCs w:val="1"/>
                <w:rtl w:val="0"/>
                <w:lang w:val="de-DE"/>
              </w:rPr>
              <w:t>ü</w:t>
            </w: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bereignet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Verein schenkt dem Mitarbeiter den bisherigen Laptop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>Der Verein kann die Zuwendung mit 25 % pauschal versteuern; dann bleibt sie sozialversicherungsfrei (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 </w:t>
            </w:r>
            <w:r>
              <w:rPr>
                <w:rFonts w:ascii="Helvetica" w:hAnsi="Helvetica"/>
                <w:rtl w:val="0"/>
                <w:lang w:val="de-DE"/>
              </w:rPr>
              <w:t>40 Abs. 2 EStG).</w:t>
            </w:r>
          </w:p>
        </w:tc>
      </w:tr>
      <w:tr>
        <w:tblPrEx>
          <w:shd w:val="clear" w:color="auto" w:fill="ced7e7"/>
        </w:tblPrEx>
        <w:trPr>
          <w:trHeight w:val="198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Sachbez</w:t>
            </w:r>
            <w:r>
              <w:rPr>
                <w:rFonts w:ascii="Helvetica" w:hAnsi="Helvetica" w:hint="default"/>
                <w:b w:val="1"/>
                <w:bCs w:val="1"/>
                <w:rtl w:val="0"/>
                <w:lang w:val="de-DE"/>
              </w:rPr>
              <w:t>ü</w:t>
            </w: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ge und Gutscheine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Tank-, Einkaufs- oder Warengutschein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>Sachbez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 xml:space="preserve">ge bleiben bis 50 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€ </w:t>
            </w:r>
            <w:r>
              <w:rPr>
                <w:rFonts w:ascii="Helvetica" w:hAnsi="Helvetica"/>
                <w:rtl w:val="0"/>
                <w:lang w:val="de-DE"/>
              </w:rPr>
              <w:t>je Kalendermonat steuerfrei (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 </w:t>
            </w:r>
            <w:r>
              <w:rPr>
                <w:rFonts w:ascii="Helvetica" w:hAnsi="Helvetica"/>
                <w:rtl w:val="0"/>
                <w:lang w:val="de-DE"/>
              </w:rPr>
              <w:t>8 Abs. 2 Satz 11 EStG). Achtung: Das ist eine Freigrenze. Bei 50,01 Euro ist grunds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 xml:space="preserve">tzlich der gesamte Betrag steuerpflichtig. </w:t>
            </w:r>
          </w:p>
        </w:tc>
      </w:tr>
      <w:tr>
        <w:tblPrEx>
          <w:shd w:val="clear" w:color="auto" w:fill="ced7e7"/>
        </w:tblPrEx>
        <w:trPr>
          <w:trHeight w:val="310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E-Bike oder Fahrrad vom Verein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 xml:space="preserve">Der Verein 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berl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sst seinem Mitarbeiter ein Pedelec auch f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r Privatfahrten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berl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sst der Verein zus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 xml:space="preserve">tzlich zum Arbeitslohn ein betriebliches Fahrrad oder ein 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bliches Pedelec zur privaten Nutzung, ist der Vorteil steuerfrei (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 </w:t>
            </w:r>
            <w:r>
              <w:rPr>
                <w:rFonts w:ascii="Helvetica" w:hAnsi="Helvetica"/>
                <w:rtl w:val="0"/>
                <w:lang w:val="de-DE"/>
              </w:rPr>
              <w:t>3 Nr. 37 EStG). Die Regelung gilt bis Ende 2030. Nicht darunter fallen schnelle E-Bikes, die verkehrsrechtlich als Kraftfahrzeug gelten.</w:t>
            </w:r>
          </w:p>
        </w:tc>
      </w:tr>
      <w:tr>
        <w:tblPrEx>
          <w:shd w:val="clear" w:color="auto" w:fill="ced7e7"/>
        </w:tblPrEx>
        <w:trPr>
          <w:trHeight w:val="422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E-Auto kostenlos beim Verein laden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Mitarbeiter l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dt sein privates E-Auto an der Wallbox des Vereins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d9d9d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>Das kostenlose oder verbilligte Laden eines privaten Elektro- oder Hybridfahrzeugs an einer ortsfesten betrieblichen Einrichtung des Vereins ist zus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tzlich zum Arbeitslohn steuerfrei (</w:t>
            </w:r>
            <w:r>
              <w:rPr>
                <w:rFonts w:ascii="Helvetica" w:hAnsi="Helvetica" w:hint="default"/>
                <w:rtl w:val="0"/>
                <w:lang w:val="de-DE"/>
              </w:rPr>
              <w:t xml:space="preserve">§ </w:t>
            </w:r>
            <w:r>
              <w:rPr>
                <w:rFonts w:ascii="Helvetica" w:hAnsi="Helvetica"/>
                <w:rtl w:val="0"/>
                <w:lang w:val="de-DE"/>
              </w:rPr>
              <w:t>3 Nr. 46 EStG). Es gibt hierf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r keinen festen Euro-H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 xml:space="preserve">chstbetrag. Auch eine betriebliche Ladevorrichtung kann zur privaten Nutzung 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berlassen werden. Die Beg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nstigung l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uft bis Ende 2030.</w:t>
            </w:r>
          </w:p>
        </w:tc>
      </w:tr>
      <w:tr>
        <w:tblPrEx>
          <w:shd w:val="clear" w:color="auto" w:fill="ced7e7"/>
        </w:tblPrEx>
        <w:trPr>
          <w:trHeight w:val="282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14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Unterst</w:t>
            </w:r>
            <w:r>
              <w:rPr>
                <w:rFonts w:ascii="Helvetica" w:hAnsi="Helvetica" w:hint="default"/>
                <w:b w:val="1"/>
                <w:bCs w:val="1"/>
                <w:rtl w:val="0"/>
                <w:lang w:val="de-DE"/>
              </w:rPr>
              <w:t>ü</w:t>
            </w:r>
            <w:r>
              <w:rPr>
                <w:rFonts w:ascii="Helvetica" w:hAnsi="Helvetica"/>
                <w:b w:val="1"/>
                <w:bCs w:val="1"/>
                <w:rtl w:val="0"/>
                <w:lang w:val="de-DE"/>
              </w:rPr>
              <w:t>tzung in einem Notfall</w:t>
            </w:r>
          </w:p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Helvetica" w:hAnsi="Helvetica"/>
                <w:rtl w:val="0"/>
                <w:lang w:val="de-DE"/>
              </w:rPr>
              <w:t>Schwere Erkrankung, Unfall oder anderer pers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nlicher Notfall</w:t>
            </w:r>
          </w:p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Helvetica" w:hAnsi="Helvetica"/>
                <w:rtl w:val="0"/>
                <w:lang w:val="de-DE"/>
              </w:rPr>
              <w:t>Unterst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tzungen k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nnen bis 600 Euro je Kalenderjahr steuerfrei bleiben. Bei einem besonderen Notfall ist auch ein h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herer Betrag m</w:t>
            </w:r>
            <w:r>
              <w:rPr>
                <w:rFonts w:ascii="Helvetica" w:hAnsi="Helvetica" w:hint="default"/>
                <w:rtl w:val="0"/>
                <w:lang w:val="de-DE"/>
              </w:rPr>
              <w:t>ö</w:t>
            </w:r>
            <w:r>
              <w:rPr>
                <w:rFonts w:ascii="Helvetica" w:hAnsi="Helvetica"/>
                <w:rtl w:val="0"/>
                <w:lang w:val="de-DE"/>
              </w:rPr>
              <w:t>glich. Bei Arbeitgebern mit f</w:t>
            </w:r>
            <w:r>
              <w:rPr>
                <w:rFonts w:ascii="Helvetica" w:hAnsi="Helvetica" w:hint="default"/>
                <w:rtl w:val="0"/>
                <w:lang w:val="de-DE"/>
              </w:rPr>
              <w:t>ü</w:t>
            </w:r>
            <w:r>
              <w:rPr>
                <w:rFonts w:ascii="Helvetica" w:hAnsi="Helvetica"/>
                <w:rtl w:val="0"/>
                <w:lang w:val="de-DE"/>
              </w:rPr>
              <w:t>nf oder mehr Besch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ftigten gelten zus</w:t>
            </w:r>
            <w:r>
              <w:rPr>
                <w:rFonts w:ascii="Helvetica" w:hAnsi="Helvetica" w:hint="default"/>
                <w:rtl w:val="0"/>
                <w:lang w:val="de-DE"/>
              </w:rPr>
              <w:t>ä</w:t>
            </w:r>
            <w:r>
              <w:rPr>
                <w:rFonts w:ascii="Helvetica" w:hAnsi="Helvetica"/>
                <w:rtl w:val="0"/>
                <w:lang w:val="de-DE"/>
              </w:rPr>
              <w:t>tzliche formelle Voraussetzungen (R 3.11 LStR).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796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4894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/>
        </w:tc>
        <w:tc>
          <w:tcPr>
            <w:tcW w:type="dxa" w:w="268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4894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/>
        </w:tc>
        <w:tc>
          <w:tcPr>
            <w:tcW w:type="dxa" w:w="33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48949"/>
            <w:tcMar>
              <w:top w:type="dxa" w:w="80"/>
              <w:left w:type="dxa" w:w="137"/>
              <w:bottom w:type="dxa" w:w="80"/>
              <w:right w:type="dxa" w:w="137"/>
            </w:tcMar>
            <w:vAlign w:val="top"/>
          </w:tcPr>
          <w:p/>
        </w:tc>
      </w:tr>
    </w:tbl>
    <w:p>
      <w:pPr>
        <w:pStyle w:val="Normal.0"/>
        <w:spacing w:line="276" w:lineRule="auto"/>
        <w:rPr>
          <w:rFonts w:ascii="Helvetica" w:cs="Helvetica" w:hAnsi="Helvetica" w:eastAsia="Helvetica"/>
          <w:i w:val="1"/>
          <w:iCs w:val="1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1"/>
        <w:spacing w:after="200" w:line="276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Normal.0"/>
        <w:rPr>
          <w:rFonts w:ascii="Helvetica" w:cs="Helvetica" w:hAnsi="Helvetica" w:eastAsia="Helvetica"/>
          <w:b w:val="1"/>
          <w:bCs w:val="1"/>
          <w:sz w:val="28"/>
          <w:szCs w:val="28"/>
        </w:rPr>
      </w:pPr>
      <w:r>
        <w:rPr>
          <w:rFonts w:ascii="Helvetica" w:hAnsi="Helvetica"/>
          <w:b w:val="1"/>
          <w:bCs w:val="1"/>
          <w:sz w:val="28"/>
          <w:szCs w:val="28"/>
          <w:rtl w:val="0"/>
          <w:lang w:val="de-DE"/>
        </w:rPr>
        <w:t>Impressum</w:t>
      </w:r>
    </w:p>
    <w:p>
      <w:pPr>
        <w:pStyle w:val="Normal.0"/>
        <w:spacing w:line="360" w:lineRule="auto"/>
        <w:jc w:val="both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Verlag PROmedia ein Verlagsbereich der Verlag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 die Deutsche Wirtschaft AG,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Theodor-Heuss-Stra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 xml:space="preserve">e 2-4 D-53177 Bonn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Gro</w:t>
      </w:r>
      <w:r>
        <w:rPr>
          <w:rFonts w:ascii="Helvetica" w:hAnsi="Helvetica" w:hint="default"/>
          <w:rtl w:val="0"/>
          <w:lang w:val="de-DE"/>
        </w:rPr>
        <w:t>ß</w:t>
      </w:r>
      <w:r>
        <w:rPr>
          <w:rFonts w:ascii="Helvetica" w:hAnsi="Helvetica"/>
          <w:rtl w:val="0"/>
          <w:lang w:val="de-DE"/>
        </w:rPr>
        <w:t xml:space="preserve">kundenpostleitzahl: D-53095 Bonn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Tel.: (0228) 95 50 130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Fax: (0228) 36 96 480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Internet: www.vnr.de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E-Mail: kundendienst@vnr.de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Vorstand: Richard Rentrop</w:t>
      </w:r>
      <w:r>
        <w:rPr>
          <w:rFonts w:ascii="Helvetica" w:hAnsi="Helvetica"/>
          <w:rtl w:val="0"/>
          <w:lang w:val="de-DE"/>
        </w:rPr>
        <w:t>, Michael Schrader</w:t>
      </w:r>
      <w:r>
        <w:rPr>
          <w:rFonts w:ascii="Helvetica" w:hAnsi="Helvetica"/>
          <w:rtl w:val="0"/>
          <w:lang w:val="de-DE"/>
        </w:rPr>
        <w:t xml:space="preserve">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Redaktionell Verantwortliche: Kathrin Righi,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VNR Verlag f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r die Deutsche Wirtschaft AG,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Adresse siehe oben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 xml:space="preserve">Alle Angaben wurden mit Sorgfalt ermittelt und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berpr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ft. 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Sie basieren jedoch auf der Richtigkeit uns erteilter Ausk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nfte und unterliegen Ver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nderungen. Eine Gew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 xml:space="preserve">hr kann deshalb nicht 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bernommen werden.</w:t>
      </w: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</w:p>
    <w:p>
      <w:pPr>
        <w:pStyle w:val="Normal.0"/>
        <w:spacing w:line="276" w:lineRule="auto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Copyright 202</w:t>
      </w:r>
      <w:r>
        <w:rPr>
          <w:rFonts w:ascii="Helvetica" w:hAnsi="Helvetica"/>
          <w:rtl w:val="0"/>
          <w:lang w:val="de-DE"/>
        </w:rPr>
        <w:t>6</w:t>
      </w:r>
      <w:r>
        <w:rPr>
          <w:rFonts w:ascii="Helvetica" w:hAnsi="Helvetica"/>
          <w:rtl w:val="0"/>
          <w:lang w:val="de-DE"/>
        </w:rPr>
        <w:t>: Vervielf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ltigungen jeder Art sind nur mit ausdr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 xml:space="preserve">cklicher Genehmigung des Verlags gestattet. </w:t>
      </w:r>
    </w:p>
    <w:p>
      <w:pPr>
        <w:pStyle w:val="Normal.0"/>
        <w:spacing w:line="276" w:lineRule="auto"/>
      </w:pPr>
      <w:r>
        <w:rPr>
          <w:rFonts w:ascii="Helvetica" w:hAnsi="Helvetica"/>
          <w:rtl w:val="0"/>
          <w:lang w:val="de-DE"/>
        </w:rPr>
        <w:t>Die Aufnahme in Online-Dienste und Internet sowie die Vervielf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ltigung auf Datentr</w:t>
      </w:r>
      <w:r>
        <w:rPr>
          <w:rFonts w:ascii="Helvetica" w:hAnsi="Helvetica" w:hint="default"/>
          <w:rtl w:val="0"/>
          <w:lang w:val="de-DE"/>
        </w:rPr>
        <w:t>ä</w:t>
      </w:r>
      <w:r>
        <w:rPr>
          <w:rFonts w:ascii="Helvetica" w:hAnsi="Helvetica"/>
          <w:rtl w:val="0"/>
          <w:lang w:val="de-DE"/>
        </w:rPr>
        <w:t>ger d</w:t>
      </w:r>
      <w:r>
        <w:rPr>
          <w:rFonts w:ascii="Helvetica" w:hAnsi="Helvetica" w:hint="default"/>
          <w:rtl w:val="0"/>
          <w:lang w:val="de-DE"/>
        </w:rPr>
        <w:t>ü</w:t>
      </w:r>
      <w:r>
        <w:rPr>
          <w:rFonts w:ascii="Helvetica" w:hAnsi="Helvetica"/>
          <w:rtl w:val="0"/>
          <w:lang w:val="de-DE"/>
        </w:rPr>
        <w:t>rfen nur nach vorheriger schriftlicher Zustimmung des Verlags erfolgen.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2552" w:right="1418" w:bottom="1134" w:left="1418" w:header="397" w:footer="709"/>
      <w:pgNumType w:start="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4"/>
        <w:tab w:val="clear" w:pos="9072"/>
      </w:tabs>
    </w:pPr>
    <w:r>
      <w:rPr>
        <w:sz w:val="36"/>
        <w:szCs w:val="36"/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-28574</wp:posOffset>
              </wp:positionH>
              <wp:positionV relativeFrom="page">
                <wp:posOffset>9525</wp:posOffset>
              </wp:positionV>
              <wp:extent cx="5619750" cy="597535"/>
              <wp:effectExtent l="0" t="0" r="0" b="0"/>
              <wp:wrapNone/>
              <wp:docPr id="1073741825" name="officeArt object" descr="Rechtec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19750" cy="597535"/>
                      </a:xfrm>
                      <a:prstGeom prst="rect">
                        <a:avLst/>
                      </a:prstGeom>
                      <a:solidFill>
                        <a:srgbClr val="6D8E43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-2.2pt;margin-top:0.8pt;width:442.5pt;height:47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6D8E43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rFonts w:ascii="Helvetica" w:hAnsi="Helvetica" w:hint="default"/>
        <w:b w:val="1"/>
        <w:bCs w:val="1"/>
        <w:outline w:val="0"/>
        <w:color w:val="ffffff"/>
        <w:sz w:val="36"/>
        <w:szCs w:val="36"/>
        <w:u w:color="ffffff"/>
        <w:rtl w:val="0"/>
        <w:lang w:val="de-DE"/>
        <w14:textFill>
          <w14:solidFill>
            <w14:srgbClr w14:val="FFFFFF"/>
          </w14:solidFill>
        </w14:textFill>
      </w:rPr>
      <w:t>Ü</w:t>
    </w:r>
    <w:r>
      <w:rPr>
        <w:rFonts w:ascii="Helvetica" w:hAnsi="Helvetica"/>
        <w:b w:val="1"/>
        <w:bCs w:val="1"/>
        <w:outline w:val="0"/>
        <w:color w:val="ffffff"/>
        <w:sz w:val="36"/>
        <w:szCs w:val="36"/>
        <w:u w:color="ffffff"/>
        <w:rtl w:val="0"/>
        <w:lang w:val="de-DE"/>
        <w14:textFill>
          <w14:solidFill>
            <w14:srgbClr w14:val="FFFFFF"/>
          </w14:solidFill>
        </w14:textFill>
      </w:rPr>
      <w:t>bersicht: Gehalts-Extras 2027</w:t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4"/>
        <w:tab w:val="clear" w:pos="9072"/>
      </w:tabs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-220133</wp:posOffset>
              </wp:positionV>
              <wp:extent cx="7611120" cy="778933"/>
              <wp:effectExtent l="0" t="0" r="0" b="0"/>
              <wp:wrapNone/>
              <wp:docPr id="1073741826" name="officeArt object" descr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20" cy="778933"/>
                      </a:xfrm>
                      <a:prstGeom prst="rect">
                        <a:avLst/>
                      </a:prstGeom>
                      <a:solidFill>
                        <a:srgbClr val="E48949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-0.0pt;margin-top:-17.3pt;width:599.3pt;height:61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E48949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9931187</wp:posOffset>
              </wp:positionV>
              <wp:extent cx="7611120" cy="738295"/>
              <wp:effectExtent l="0" t="0" r="0" b="0"/>
              <wp:wrapNone/>
              <wp:docPr id="1073741827" name="officeArt object" descr="Shape 6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120" cy="738295"/>
                      </a:xfrm>
                      <a:prstGeom prst="rect">
                        <a:avLst/>
                      </a:prstGeom>
                      <a:solidFill>
                        <a:srgbClr val="E48949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-0.0pt;margin-top:782.0pt;width:599.3pt;height:58.1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E48949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