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Anlagerichtilinie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Anlagerichtlinie des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e. V. [Name des Vereins]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In der Sitzung vom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beschlie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t die Mitgliederversammlung folgende Richtlinie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die Anlage des Vereinsverm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gens: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1 Zweck und Verantwortlichkeit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(1) Ziele dieser Richtlinie sind der reale Werterhalt des Vereinsverm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gens (Inflationsschutz) sowie die Absicherung des Vorstands. Die Verm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gensverwaltung folgt dem Prinzip der wirtschaftlichen Verm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gensverwaltung 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äß </w:t>
      </w:r>
      <w:r>
        <w:rPr>
          <w:rFonts w:ascii="Helvetica" w:hAnsi="Helvetica"/>
          <w:sz w:val="24"/>
          <w:szCs w:val="24"/>
          <w:rtl w:val="0"/>
          <w:lang w:val="de-DE"/>
        </w:rPr>
        <w:t>1841 BGB n. F.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2 Anlagegrunds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tze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(1) Liquidit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 vor Rendite: Die Zahlungsf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higkeit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satzungsgem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sz w:val="24"/>
          <w:szCs w:val="24"/>
          <w:rtl w:val="0"/>
          <w:lang w:val="de-DE"/>
        </w:rPr>
        <w:t>e Aufgaben muss jederzeit sichergestellt sein.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(2) Diversifikation: Zur Vermeidung von Klumpenrisiken ist das Verm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gen breit zu streuen.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3 Risikostruktur (2/3-zu-1/3-Regel)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(1) Basis-Portfolio (mindestens 67 %): Anlage in Instrumente mit hoher Sicherheit (z. B. Festgeld, Staatsanleihen).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(2) Rendite-Portfolio (maximal 33 %): Anlage in renditest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rkere Instrumente zum Inflationsausgleich (z. B. Welt-ETFs).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4 Zul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ssige Anlageinstrumente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(a) Sicherheitsorientiert: Tages- und Festgelder mit EU-Einlagensicherung, Bundeswertpapiere, grundbuchlich besicherte Darlehen.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(b) Ertragsorientiert: Breit streuende Aktien-ETFs (z. B. MSCI World), physisches Gold (maximal 10 % Beimischung), Anleihen mit Top-Rating (Investment Grade).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5 Nicht zul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ssige Anlagen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Ausdr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cklich untersagt sind hoch spekulative Anlagen ohne Sicherheiten oder mit Totalverlustrisiko, insbesondere: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• </w:t>
      </w:r>
      <w:r>
        <w:rPr>
          <w:rFonts w:ascii="Helvetica" w:hAnsi="Helvetica"/>
          <w:sz w:val="24"/>
          <w:szCs w:val="24"/>
          <w:rtl w:val="0"/>
          <w:lang w:val="de-DE"/>
        </w:rPr>
        <w:t>Kryptow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hrungen (Bitcoin etc.),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• </w:t>
      </w:r>
      <w:r>
        <w:rPr>
          <w:rFonts w:ascii="Helvetica" w:hAnsi="Helvetica"/>
          <w:sz w:val="24"/>
          <w:szCs w:val="24"/>
          <w:rtl w:val="0"/>
          <w:lang w:val="de-DE"/>
        </w:rPr>
        <w:t>unbesicherte Darlehen an Dritte oder Mitglieder,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• </w:t>
      </w:r>
      <w:r>
        <w:rPr>
          <w:rFonts w:ascii="Helvetica" w:hAnsi="Helvetica"/>
          <w:sz w:val="24"/>
          <w:szCs w:val="24"/>
          <w:rtl w:val="0"/>
          <w:lang w:val="de-DE"/>
        </w:rPr>
        <w:t>Hebelprodukte, Zertifikate oder geschlossene Fonds.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6 Entscheidungsbefugnisse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(1) Der gesch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ftsf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hrende Vorstand entscheidet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Anlagen bis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. Euro [z. B. 5.000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€</w:t>
      </w:r>
      <w:r>
        <w:rPr>
          <w:rFonts w:ascii="Helvetica" w:hAnsi="Helvetica"/>
          <w:sz w:val="24"/>
          <w:szCs w:val="24"/>
          <w:rtl w:val="0"/>
          <w:lang w:val="de-DE"/>
        </w:rPr>
        <w:t>].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(2) 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here Betr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ge oder Abweichungen von dieser Richtlinie bed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rfen eines Beschlusses des Gesamtvorstands / der Mitgliederversammlung.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7 Berichterstattung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Der Vorstand legt einmal 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hrlich im Finanzbericht Rechenschaft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die gew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hlte Strategie und die Wertentwicklung der Anlagen ab.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8 Inkrafttreten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Diese Richtlinie tritt sofort in Kraft.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Muster: Anlagerichtlinie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