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0"/>
          <w:szCs w:val="11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Jahresabschluss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Jahressabschluss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1" w:hRule="atLeast"/>
        </w:trPr>
        <w:tc>
          <w:tcPr>
            <w:tcW w:type="dxa" w:w="731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1. Sind die Belege vollst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 und chronologisch geordnet? Alle Belege des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ftsjahres m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ssen vorliegen, sortiert nach Datum, mit fortlaufender Nummerierung.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2. Wurden die Einnahmen und Ausgaben den vier Vereinsbereichen (ideeller Bereich, Zweckbetrieb, wirtschaftlicher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ftsbetrieb,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gensverwaltung) korrekt zugeordnet?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center"/>
              <w:outlineLvl w:val="9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3. Sind die Abteilungsabschl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 vollst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 und unterschrieben?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jede Abteilung muss ein eigener Abschluss vorliegen, mit Unterschrift des Abteilungsleiters oder Kassierers.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4. Stimmen die Bank- und Kassenbest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nde?</w:t>
            </w:r>
          </w:p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Sie m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ssen alle Konten mit Kontoausz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gen abgleichen und den Kassenbestand mit einem Z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hlprotokoll vom 31. Dezember dokumentieren.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25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Sind alle Barbewegungen korrekt erfasst, und stimmen die Kassenberichte der Abteilungen? Pr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fen Sie:</w:t>
            </w:r>
          </w:p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Wurden alle Bareinnahmen l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ckenlos dokumentiert (z. B. bei Veranstaltungen, Kursen, Bewirtung)?</w:t>
            </w:r>
          </w:p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Gibt es 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r jede Abteilung ein ordentlich gef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hrtes Kassenbuch?</w:t>
            </w:r>
          </w:p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Stimmen Anfangs- und Endbestand?</w:t>
            </w:r>
          </w:p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Liegt 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r den Jahresendbestand ein Z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hlprotokoll vor?</w:t>
            </w:r>
          </w:p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Gibt es ungew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ö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hnliche 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„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Restsummen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“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, f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r die keine Belege existieren? 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6. Ist die Einnahmen-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berschuss-Rechnung vollst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 und nach Bereichen aufgebaut? Die E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muss getrennt nach steuerlichen Bereichen vorliegen, sonst ist keine korrekte 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fung 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glich.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7. Sind die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 korrekt berechnet und dokumentiert? Entspricht die Bildung der freien dem gesetzlich zul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ssigen Rahmen? Gibt es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zweckgebundene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 einen Beschluss der mit Mitgliederversammlung? Sind Betriebsmittelr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 klar begr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ndet?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8. Ist das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gensverzeichnis auf den 31. Dezember aktualisiert? Sind alle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genswerte aufgelistet, die Zeitwerte/Abschreibungswerte aktualisiert, ausgemusterte Gegenst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nde gel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scht und neue Anschaffungen eingepflegt?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9. Sind Sponsoring-Einnahmen klar und korrekt verbucht? Wurde sauber zwischen Spende (werbefrei!) und Sponsoring (Leistung gegen Gegenleistung, Umsatzsteuer!) unterschieden?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10. Wurde die 25.000-Euro-Umsatzsteuergrenze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Ums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tze aus Zweckbetrieb, wirtschaftlichem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ftsbetrieb und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gensverwaltung gepr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 xml:space="preserve">ft und eingehalten? Wird die Grenze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berschritten, entsteht ab 2026 Umsatzsteuerpflicht!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11. Sind die Spendenquittungen vollst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 und korrekt? Stimmen Betr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ge, Daten, Zweckbindung, Adresse, Zuwendungsbest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tigung und Formularversion?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12. Liegen die Unterlagen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die Kassenpr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fung vollst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 vor, und zwar geordnet nach: Belege, Kontoausz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ge, Kassenbuch, E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R, Verm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gensverzeichnis, Anlageverzeichnis,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cklagenspiegel, Abteilungsabschl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sse?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Checkliste: Jahresabschluss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