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EE4118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</w:pPr>
          <w:r w:rsidRPr="00EE4118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>Übersicht</w:t>
          </w:r>
          <w:r w:rsidR="00146477" w:rsidRPr="00EE4118">
            <w:rPr>
              <w:rStyle w:val="berschrift1Zchn"/>
              <w:rFonts w:ascii="Helvetica" w:hAnsi="Helvetica"/>
              <w:b/>
              <w:bCs/>
              <w:color w:val="6D8E43"/>
              <w:sz w:val="96"/>
              <w:szCs w:val="96"/>
            </w:rPr>
            <w:t xml:space="preserve">: </w:t>
          </w:r>
        </w:p>
        <w:p w14:paraId="759E559E" w14:textId="5058834F" w:rsidR="00DC69D4" w:rsidRPr="003B528A" w:rsidRDefault="00EE4118" w:rsidP="0072518A">
          <w:pPr>
            <w:jc w:val="center"/>
            <w:rPr>
              <w:sz w:val="98"/>
              <w:szCs w:val="98"/>
            </w:rPr>
          </w:pPr>
          <w:r w:rsidRPr="00EE4118">
            <w:rPr>
              <w:rFonts w:ascii="Helvetica" w:eastAsiaTheme="majorEastAsia" w:hAnsi="Helvetica" w:cstheme="majorBidi"/>
              <w:b/>
              <w:bCs/>
              <w:color w:val="6D8E43"/>
              <w:sz w:val="96"/>
              <w:szCs w:val="96"/>
            </w:rPr>
            <w:t>Jahressteuergesetz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39223EAC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7D173C" w:rsidRPr="007D173C">
        <w:rPr>
          <w:rFonts w:ascii="Helvetica" w:hAnsi="Helvetica" w:cs="Helvetica"/>
          <w:b/>
          <w:bCs/>
          <w:color w:val="6D8E43"/>
          <w:sz w:val="32"/>
          <w:szCs w:val="32"/>
        </w:rPr>
        <w:t>Änderungen durchs Jahressteuergesetz 2025 für Ihren Verein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4"/>
      </w:tblGrid>
      <w:tr w:rsidR="00A856E3" w14:paraId="655ED890" w14:textId="77777777" w:rsidTr="00453026">
        <w:trPr>
          <w:trHeight w:val="272"/>
        </w:trPr>
        <w:tc>
          <w:tcPr>
            <w:tcW w:w="9054" w:type="dxa"/>
            <w:shd w:val="clear" w:color="auto" w:fill="6D8E43"/>
          </w:tcPr>
          <w:p w14:paraId="78AB7971" w14:textId="77777777" w:rsidR="00A856E3" w:rsidRPr="00A856E3" w:rsidRDefault="00A856E3" w:rsidP="00391C77">
            <w:pPr>
              <w:rPr>
                <w:rFonts w:asciiTheme="minorHAnsi" w:eastAsia="SimSun" w:hAnsiTheme="minorHAnsi" w:cstheme="minorHAnsi"/>
              </w:rPr>
            </w:pPr>
          </w:p>
        </w:tc>
      </w:tr>
      <w:tr w:rsidR="007D173C" w14:paraId="0CB30322" w14:textId="77777777" w:rsidTr="00E03F5A">
        <w:trPr>
          <w:trHeight w:val="272"/>
        </w:trPr>
        <w:tc>
          <w:tcPr>
            <w:tcW w:w="9054" w:type="dxa"/>
            <w:shd w:val="clear" w:color="auto" w:fill="D9D9D9" w:themeFill="background1" w:themeFillShade="D9"/>
          </w:tcPr>
          <w:p w14:paraId="13CEADAE" w14:textId="77777777" w:rsidR="00391C77" w:rsidRPr="00391C77" w:rsidRDefault="00391C77" w:rsidP="00391C77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91C77">
              <w:rPr>
                <w:rFonts w:asciiTheme="minorHAnsi" w:eastAsia="SimSun" w:hAnsiTheme="minorHAnsi" w:cstheme="minorHAnsi"/>
                <w:b/>
                <w:bCs/>
              </w:rPr>
              <w:t>Freigrenze für den steuerpflichtigen wirtschaftlichen Geschäftsbetrieb steigt:</w:t>
            </w:r>
          </w:p>
          <w:p w14:paraId="5A7319D6" w14:textId="54D14B0D" w:rsidR="007D173C" w:rsidRPr="00391C77" w:rsidRDefault="00391C77" w:rsidP="00391C77">
            <w:pPr>
              <w:rPr>
                <w:rFonts w:asciiTheme="minorHAnsi" w:eastAsia="SimSun" w:hAnsiTheme="minorHAnsi" w:cstheme="minorHAnsi"/>
              </w:rPr>
            </w:pPr>
            <w:r w:rsidRPr="00391C77">
              <w:rPr>
                <w:rFonts w:asciiTheme="minorHAnsi" w:eastAsia="SimSun" w:hAnsiTheme="minorHAnsi" w:cstheme="minorHAnsi"/>
              </w:rPr>
              <w:t>Gemeinnützige Vereine dürfen mit ihren wirtschaftlichen Aktivitäten, die nicht unmittelbar der Erfüllung der Satzungszwecke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391C77">
              <w:rPr>
                <w:rFonts w:asciiTheme="minorHAnsi" w:eastAsia="SimSun" w:hAnsiTheme="minorHAnsi" w:cstheme="minorHAnsi"/>
              </w:rPr>
              <w:t>dienen (z. B. Verkauf von Getränken und Speisen) bislang maximal 45.000 Euro (inklusive Umsatzsteuer) einnehmen,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391C77">
              <w:rPr>
                <w:rFonts w:asciiTheme="minorHAnsi" w:eastAsia="SimSun" w:hAnsiTheme="minorHAnsi" w:cstheme="minorHAnsi"/>
              </w:rPr>
              <w:t>ohne körperschaft- oder gewerbesteuerpflichtig zu werden. Diese Grenze steigt 2026 auf 50.000 Euro (§ 64 Abs. 3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391C77">
              <w:rPr>
                <w:rFonts w:asciiTheme="minorHAnsi" w:eastAsia="SimSun" w:hAnsiTheme="minorHAnsi" w:cstheme="minorHAnsi"/>
              </w:rPr>
              <w:t>Abgabenordung (AO)).</w:t>
            </w:r>
          </w:p>
        </w:tc>
      </w:tr>
      <w:tr w:rsidR="007D173C" w14:paraId="138349D7" w14:textId="77777777" w:rsidTr="00BE1733">
        <w:trPr>
          <w:trHeight w:val="272"/>
        </w:trPr>
        <w:tc>
          <w:tcPr>
            <w:tcW w:w="9054" w:type="dxa"/>
          </w:tcPr>
          <w:p w14:paraId="553C254B" w14:textId="77777777" w:rsidR="006F41E2" w:rsidRPr="006F41E2" w:rsidRDefault="006F41E2" w:rsidP="006F41E2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6F41E2">
              <w:rPr>
                <w:rFonts w:asciiTheme="minorHAnsi" w:eastAsia="SimSun" w:hAnsiTheme="minorHAnsi" w:cstheme="minorHAnsi"/>
                <w:b/>
                <w:bCs/>
              </w:rPr>
              <w:t>Ehrenamtspauschale und Übungsleiterfreibetrag steigen:</w:t>
            </w:r>
          </w:p>
          <w:p w14:paraId="76C58B70" w14:textId="70E15864" w:rsidR="007D173C" w:rsidRPr="00391C77" w:rsidRDefault="006F41E2" w:rsidP="006F41E2">
            <w:pPr>
              <w:rPr>
                <w:rFonts w:asciiTheme="minorHAnsi" w:eastAsia="SimSun" w:hAnsiTheme="minorHAnsi" w:cstheme="minorHAnsi"/>
              </w:rPr>
            </w:pPr>
            <w:r w:rsidRPr="006F41E2">
              <w:rPr>
                <w:rFonts w:asciiTheme="minorHAnsi" w:eastAsia="SimSun" w:hAnsiTheme="minorHAnsi" w:cstheme="minorHAnsi"/>
              </w:rPr>
              <w:t>Die Ehrenamtspauschale steigt von 840 Euro auf 960 Euro pro Jahr (§ 3 Nr. 26a Einkommensteuergesetz (EstG)). Der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6F41E2">
              <w:rPr>
                <w:rFonts w:asciiTheme="minorHAnsi" w:eastAsia="SimSun" w:hAnsiTheme="minorHAnsi" w:cstheme="minorHAnsi"/>
              </w:rPr>
              <w:t>Übungsleiterfreibetrag wird von aktuell 3.000 Euro auf 3.300 Euro pro Jahr erhöht (§ 3 Nr. 26 EStG). Mehr zur Erhöhung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6F41E2">
              <w:rPr>
                <w:rFonts w:asciiTheme="minorHAnsi" w:eastAsia="SimSun" w:hAnsiTheme="minorHAnsi" w:cstheme="minorHAnsi"/>
              </w:rPr>
              <w:t xml:space="preserve">der beiden Freibeträge finden Sie auf den Seiten </w:t>
            </w:r>
            <w:hyperlink r:id="rId10" w:anchor="page=1" w:history="1">
              <w:r w:rsidRPr="00831257">
                <w:rPr>
                  <w:rStyle w:val="Hyperlink"/>
                  <w:rFonts w:asciiTheme="minorHAnsi" w:eastAsia="SimSun" w:hAnsiTheme="minorHAnsi" w:cstheme="minorHAnsi"/>
                </w:rPr>
                <w:t>1</w:t>
              </w:r>
            </w:hyperlink>
            <w:r w:rsidRPr="006F41E2">
              <w:rPr>
                <w:rFonts w:asciiTheme="minorHAnsi" w:eastAsia="SimSun" w:hAnsiTheme="minorHAnsi" w:cstheme="minorHAnsi"/>
              </w:rPr>
              <w:t xml:space="preserve"> und </w:t>
            </w:r>
            <w:hyperlink r:id="rId11" w:anchor="page=2" w:history="1">
              <w:r w:rsidRPr="00831257">
                <w:rPr>
                  <w:rStyle w:val="Hyperlink"/>
                  <w:rFonts w:asciiTheme="minorHAnsi" w:eastAsia="SimSun" w:hAnsiTheme="minorHAnsi" w:cstheme="minorHAnsi"/>
                </w:rPr>
                <w:t>2</w:t>
              </w:r>
            </w:hyperlink>
            <w:r w:rsidRPr="006F41E2">
              <w:rPr>
                <w:rFonts w:asciiTheme="minorHAnsi" w:eastAsia="SimSun" w:hAnsiTheme="minorHAnsi" w:cstheme="minorHAnsi"/>
              </w:rPr>
              <w:t xml:space="preserve"> in dieser Ausgabe.</w:t>
            </w:r>
          </w:p>
        </w:tc>
      </w:tr>
      <w:tr w:rsidR="00391C77" w14:paraId="1BBBB3CC" w14:textId="77777777" w:rsidTr="00E03F5A">
        <w:trPr>
          <w:trHeight w:val="272"/>
        </w:trPr>
        <w:tc>
          <w:tcPr>
            <w:tcW w:w="9054" w:type="dxa"/>
            <w:shd w:val="clear" w:color="auto" w:fill="D9D9D9" w:themeFill="background1" w:themeFillShade="D9"/>
          </w:tcPr>
          <w:p w14:paraId="74A7BBA5" w14:textId="77777777" w:rsidR="00B562E4" w:rsidRPr="00B562E4" w:rsidRDefault="00B562E4" w:rsidP="00B562E4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B562E4">
              <w:rPr>
                <w:rFonts w:asciiTheme="minorHAnsi" w:eastAsia="SimSun" w:hAnsiTheme="minorHAnsi" w:cstheme="minorHAnsi"/>
                <w:b/>
                <w:bCs/>
              </w:rPr>
              <w:t>Zeitnahe Mittelverwendung wird eingeschränkt:</w:t>
            </w:r>
          </w:p>
          <w:p w14:paraId="57B37C7D" w14:textId="4926E22E" w:rsidR="00391C77" w:rsidRPr="00391C77" w:rsidRDefault="00B562E4" w:rsidP="00B562E4">
            <w:pPr>
              <w:rPr>
                <w:rFonts w:asciiTheme="minorHAnsi" w:eastAsia="SimSun" w:hAnsiTheme="minorHAnsi" w:cstheme="minorHAnsi"/>
              </w:rPr>
            </w:pPr>
            <w:r w:rsidRPr="00B562E4">
              <w:rPr>
                <w:rFonts w:asciiTheme="minorHAnsi" w:eastAsia="SimSun" w:hAnsiTheme="minorHAnsi" w:cstheme="minorHAnsi"/>
              </w:rPr>
              <w:t>Gemeinnützige Vereine, deren Einnahmen nicht mehr als 45.000 Euro betragen, unterliegen nicht dem Gebot der zeitnahen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B562E4">
              <w:rPr>
                <w:rFonts w:asciiTheme="minorHAnsi" w:eastAsia="SimSun" w:hAnsiTheme="minorHAnsi" w:cstheme="minorHAnsi"/>
              </w:rPr>
              <w:t>Mittelverwendung. Die Pflicht entfällt künftig für Vereine mit Einnahmen bis 100.000 Euro (§ 55 Abs. 1 Nr. 5 AO).</w:t>
            </w:r>
          </w:p>
        </w:tc>
      </w:tr>
      <w:tr w:rsidR="00391C77" w14:paraId="010A9537" w14:textId="77777777" w:rsidTr="00BE1733">
        <w:trPr>
          <w:trHeight w:val="272"/>
        </w:trPr>
        <w:tc>
          <w:tcPr>
            <w:tcW w:w="9054" w:type="dxa"/>
          </w:tcPr>
          <w:p w14:paraId="78448C5C" w14:textId="77777777" w:rsidR="003B765D" w:rsidRPr="003B765D" w:rsidRDefault="003B765D" w:rsidP="003B765D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3B765D">
              <w:rPr>
                <w:rFonts w:asciiTheme="minorHAnsi" w:eastAsia="SimSun" w:hAnsiTheme="minorHAnsi" w:cstheme="minorHAnsi"/>
                <w:b/>
                <w:bCs/>
              </w:rPr>
              <w:t>Sphärenverzicht bei kleinen Vereinen wird möglich:</w:t>
            </w:r>
          </w:p>
          <w:p w14:paraId="4822FB2C" w14:textId="248B83E2" w:rsidR="00391C77" w:rsidRPr="00391C77" w:rsidRDefault="003B765D" w:rsidP="003B765D">
            <w:pPr>
              <w:rPr>
                <w:rFonts w:asciiTheme="minorHAnsi" w:eastAsia="SimSun" w:hAnsiTheme="minorHAnsi" w:cstheme="minorHAnsi"/>
              </w:rPr>
            </w:pPr>
            <w:r w:rsidRPr="003B765D">
              <w:rPr>
                <w:rFonts w:asciiTheme="minorHAnsi" w:eastAsia="SimSun" w:hAnsiTheme="minorHAnsi" w:cstheme="minorHAnsi"/>
              </w:rPr>
              <w:t>Gemeinnützige Vereine müssen ihre Einnahmen den 4 „Sphären“ ideeller Bereich, Zweckbetrieb, Vermögensverwaltung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3B765D">
              <w:rPr>
                <w:rFonts w:asciiTheme="minorHAnsi" w:eastAsia="SimSun" w:hAnsiTheme="minorHAnsi" w:cstheme="minorHAnsi"/>
              </w:rPr>
              <w:t>und wirtschaftlicher Geschäftsbetrieb zuordnen. Neu ab 2026: Übersteigen die Einnahmen des Vereins 50.000 Euro nicht,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3B765D">
              <w:rPr>
                <w:rFonts w:asciiTheme="minorHAnsi" w:eastAsia="SimSun" w:hAnsiTheme="minorHAnsi" w:cstheme="minorHAnsi"/>
              </w:rPr>
              <w:t xml:space="preserve">kann diese Zuordnung entfallen. Doch Achtung: Werfen Sie unbedingt einen Blick auf </w:t>
            </w:r>
            <w:hyperlink r:id="rId12" w:anchor="page=3" w:history="1">
              <w:r w:rsidRPr="00ED4352">
                <w:rPr>
                  <w:rStyle w:val="Hyperlink"/>
                  <w:rFonts w:asciiTheme="minorHAnsi" w:eastAsia="SimSun" w:hAnsiTheme="minorHAnsi" w:cstheme="minorHAnsi"/>
                </w:rPr>
                <w:t>Seite 3</w:t>
              </w:r>
            </w:hyperlink>
            <w:r w:rsidRPr="003B765D">
              <w:rPr>
                <w:rFonts w:asciiTheme="minorHAnsi" w:eastAsia="SimSun" w:hAnsiTheme="minorHAnsi" w:cstheme="minorHAnsi"/>
              </w:rPr>
              <w:t xml:space="preserve"> in dieser Ausgabe.</w:t>
            </w:r>
          </w:p>
        </w:tc>
      </w:tr>
      <w:tr w:rsidR="00391C77" w14:paraId="29BB55C9" w14:textId="77777777" w:rsidTr="00E03F5A">
        <w:trPr>
          <w:trHeight w:val="272"/>
        </w:trPr>
        <w:tc>
          <w:tcPr>
            <w:tcW w:w="9054" w:type="dxa"/>
            <w:shd w:val="clear" w:color="auto" w:fill="D9D9D9" w:themeFill="background1" w:themeFillShade="D9"/>
          </w:tcPr>
          <w:p w14:paraId="7E8063FA" w14:textId="77777777" w:rsidR="00C77E8E" w:rsidRPr="00C77E8E" w:rsidRDefault="00C77E8E" w:rsidP="00C77E8E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77E8E">
              <w:rPr>
                <w:rFonts w:asciiTheme="minorHAnsi" w:eastAsia="SimSun" w:hAnsiTheme="minorHAnsi" w:cstheme="minorHAnsi"/>
                <w:b/>
                <w:bCs/>
              </w:rPr>
              <w:t>Zweckbetriebsgrenze (Sportvereine) steigt:</w:t>
            </w:r>
          </w:p>
          <w:p w14:paraId="5D15D5E3" w14:textId="1E885872" w:rsidR="00391C77" w:rsidRPr="00391C77" w:rsidRDefault="00C77E8E" w:rsidP="00C77E8E">
            <w:pPr>
              <w:rPr>
                <w:rFonts w:asciiTheme="minorHAnsi" w:eastAsia="SimSun" w:hAnsiTheme="minorHAnsi" w:cstheme="minorHAnsi"/>
              </w:rPr>
            </w:pPr>
            <w:r w:rsidRPr="00C77E8E">
              <w:rPr>
                <w:rFonts w:asciiTheme="minorHAnsi" w:eastAsia="SimSun" w:hAnsiTheme="minorHAnsi" w:cstheme="minorHAnsi"/>
              </w:rPr>
              <w:t>Die Zweckbetriebsgrenze steigt auf 50.000 Euro, aktuell sind es 45.000 Euro. Der § 67a Abs. 1 AO wird entsprechend angepasst.</w:t>
            </w:r>
          </w:p>
        </w:tc>
      </w:tr>
      <w:tr w:rsidR="00391C77" w14:paraId="3568B391" w14:textId="77777777" w:rsidTr="00BE1733">
        <w:trPr>
          <w:trHeight w:val="272"/>
        </w:trPr>
        <w:tc>
          <w:tcPr>
            <w:tcW w:w="9054" w:type="dxa"/>
          </w:tcPr>
          <w:p w14:paraId="6751B295" w14:textId="77777777" w:rsidR="00C77E8E" w:rsidRPr="00C77E8E" w:rsidRDefault="00C77E8E" w:rsidP="00C77E8E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C77E8E">
              <w:rPr>
                <w:rFonts w:asciiTheme="minorHAnsi" w:eastAsia="SimSun" w:hAnsiTheme="minorHAnsi" w:cstheme="minorHAnsi"/>
                <w:b/>
                <w:bCs/>
              </w:rPr>
              <w:t>E-Sport wird gemeinnützig:</w:t>
            </w:r>
          </w:p>
          <w:p w14:paraId="71B12F19" w14:textId="0B82F467" w:rsidR="00391C77" w:rsidRPr="00391C77" w:rsidRDefault="00C77E8E" w:rsidP="00C77E8E">
            <w:pPr>
              <w:rPr>
                <w:rFonts w:asciiTheme="minorHAnsi" w:eastAsia="SimSun" w:hAnsiTheme="minorHAnsi" w:cstheme="minorHAnsi"/>
              </w:rPr>
            </w:pPr>
            <w:r w:rsidRPr="00C77E8E">
              <w:rPr>
                <w:rFonts w:asciiTheme="minorHAnsi" w:eastAsia="SimSun" w:hAnsiTheme="minorHAnsi" w:cstheme="minorHAnsi"/>
              </w:rPr>
              <w:t>Ab 2026 können auch E-Sport-Vereine gemeinnützig sein. Dieser Vereinszweck wird in den Katalog der steuerbegünstigten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C77E8E">
              <w:rPr>
                <w:rFonts w:asciiTheme="minorHAnsi" w:eastAsia="SimSun" w:hAnsiTheme="minorHAnsi" w:cstheme="minorHAnsi"/>
              </w:rPr>
              <w:t>Zwecke aufgenommen (§ 52 AO).</w:t>
            </w:r>
          </w:p>
        </w:tc>
      </w:tr>
      <w:tr w:rsidR="00391C77" w14:paraId="3D2CAF2D" w14:textId="77777777" w:rsidTr="00E03F5A">
        <w:trPr>
          <w:trHeight w:val="272"/>
        </w:trPr>
        <w:tc>
          <w:tcPr>
            <w:tcW w:w="9054" w:type="dxa"/>
            <w:shd w:val="clear" w:color="auto" w:fill="D9D9D9" w:themeFill="background1" w:themeFillShade="D9"/>
          </w:tcPr>
          <w:p w14:paraId="2A38ABF1" w14:textId="77777777" w:rsidR="00D37339" w:rsidRPr="00D37339" w:rsidRDefault="00D37339" w:rsidP="00D37339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D37339">
              <w:rPr>
                <w:rFonts w:asciiTheme="minorHAnsi" w:eastAsia="SimSun" w:hAnsiTheme="minorHAnsi" w:cstheme="minorHAnsi"/>
                <w:b/>
                <w:bCs/>
              </w:rPr>
              <w:t>Status von Photovoltaikanlagen geklärt:</w:t>
            </w:r>
          </w:p>
          <w:p w14:paraId="30295849" w14:textId="5B29066E" w:rsidR="00391C77" w:rsidRPr="00391C77" w:rsidRDefault="00D37339" w:rsidP="00D37339">
            <w:pPr>
              <w:rPr>
                <w:rFonts w:asciiTheme="minorHAnsi" w:eastAsia="SimSun" w:hAnsiTheme="minorHAnsi" w:cstheme="minorHAnsi"/>
              </w:rPr>
            </w:pPr>
            <w:r w:rsidRPr="00D37339">
              <w:rPr>
                <w:rFonts w:asciiTheme="minorHAnsi" w:eastAsia="SimSun" w:hAnsiTheme="minorHAnsi" w:cstheme="minorHAnsi"/>
              </w:rPr>
              <w:t>Betrieb und Finanzierung werden ausdrücklich als unschädlich für die Gemeinnützigkeit festgelegt (§ 58 Nr. 11 AO).</w:t>
            </w:r>
          </w:p>
        </w:tc>
      </w:tr>
      <w:tr w:rsidR="00391C77" w14:paraId="05FC20FC" w14:textId="77777777" w:rsidTr="00BE1733">
        <w:trPr>
          <w:trHeight w:val="272"/>
        </w:trPr>
        <w:tc>
          <w:tcPr>
            <w:tcW w:w="9054" w:type="dxa"/>
          </w:tcPr>
          <w:p w14:paraId="5219B2C7" w14:textId="77777777" w:rsidR="00D37339" w:rsidRPr="00D37339" w:rsidRDefault="00D37339" w:rsidP="00D37339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D37339">
              <w:rPr>
                <w:rFonts w:asciiTheme="minorHAnsi" w:eastAsia="SimSun" w:hAnsiTheme="minorHAnsi" w:cstheme="minorHAnsi"/>
                <w:b/>
                <w:bCs/>
              </w:rPr>
              <w:t>Haftungsprivileg für Ehrenamtliche konkretisiert:</w:t>
            </w:r>
          </w:p>
          <w:p w14:paraId="4E0737FF" w14:textId="267B45DD" w:rsidR="00391C77" w:rsidRPr="00391C77" w:rsidRDefault="00D37339" w:rsidP="008B069C">
            <w:pPr>
              <w:rPr>
                <w:rFonts w:asciiTheme="minorHAnsi" w:eastAsia="SimSun" w:hAnsiTheme="minorHAnsi" w:cstheme="minorHAnsi"/>
              </w:rPr>
            </w:pPr>
            <w:r w:rsidRPr="00D37339">
              <w:rPr>
                <w:rFonts w:asciiTheme="minorHAnsi" w:eastAsia="SimSun" w:hAnsiTheme="minorHAnsi" w:cstheme="minorHAnsi"/>
              </w:rPr>
              <w:t>Ehrenamtler (auch Vorstand) haften für Schäden aus ihrem Amt dem Verein gegenüber heraus nur dann (und sofern keine sie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D37339">
              <w:rPr>
                <w:rFonts w:asciiTheme="minorHAnsi" w:eastAsia="SimSun" w:hAnsiTheme="minorHAnsi" w:cstheme="minorHAnsi"/>
              </w:rPr>
              <w:t>schützende Satzungsregelung besteht), wenn sie mehr als 840 Euro pro Jahr vom Verein bekommen. Ansonsten gilt: Haftung</w:t>
            </w:r>
            <w:r w:rsidR="008B069C">
              <w:rPr>
                <w:rFonts w:asciiTheme="minorHAnsi" w:eastAsia="SimSun" w:hAnsiTheme="minorHAnsi" w:cstheme="minorHAnsi"/>
              </w:rPr>
              <w:t xml:space="preserve"> </w:t>
            </w:r>
            <w:r w:rsidRPr="00D37339">
              <w:rPr>
                <w:rFonts w:asciiTheme="minorHAnsi" w:eastAsia="SimSun" w:hAnsiTheme="minorHAnsi" w:cstheme="minorHAnsi"/>
              </w:rPr>
              <w:t xml:space="preserve">nicht für einfache Fahrlässigkeit, sondern „nur“ bei grober Fahrlässigkeit oder Vorsatz. Die Grenze wird auf 3.300 Euro </w:t>
            </w:r>
            <w:r w:rsidR="000362C7">
              <w:rPr>
                <w:rFonts w:asciiTheme="minorHAnsi" w:eastAsia="SimSun" w:hAnsiTheme="minorHAnsi" w:cstheme="minorHAnsi"/>
              </w:rPr>
              <w:t>-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D37339">
              <w:rPr>
                <w:rFonts w:asciiTheme="minorHAnsi" w:eastAsia="SimSun" w:hAnsiTheme="minorHAnsi" w:cstheme="minorHAnsi"/>
              </w:rPr>
              <w:t xml:space="preserve">analog zur neuen Übungsleiterpauschale </w:t>
            </w:r>
            <w:r w:rsidR="000362C7">
              <w:rPr>
                <w:rFonts w:asciiTheme="minorHAnsi" w:eastAsia="SimSun" w:hAnsiTheme="minorHAnsi" w:cstheme="minorHAnsi"/>
              </w:rPr>
              <w:t>-</w:t>
            </w:r>
            <w:r w:rsidRPr="00D37339">
              <w:rPr>
                <w:rFonts w:asciiTheme="minorHAnsi" w:eastAsia="SimSun" w:hAnsiTheme="minorHAnsi" w:cstheme="minorHAnsi"/>
              </w:rPr>
              <w:t xml:space="preserve"> angehoben.</w:t>
            </w:r>
          </w:p>
        </w:tc>
      </w:tr>
      <w:tr w:rsidR="00A856E3" w14:paraId="7CDA5236" w14:textId="77777777" w:rsidTr="00453026">
        <w:trPr>
          <w:trHeight w:val="272"/>
        </w:trPr>
        <w:tc>
          <w:tcPr>
            <w:tcW w:w="9054" w:type="dxa"/>
            <w:shd w:val="clear" w:color="auto" w:fill="E48949"/>
          </w:tcPr>
          <w:p w14:paraId="5E40F3EA" w14:textId="77777777" w:rsidR="00A856E3" w:rsidRPr="00A856E3" w:rsidRDefault="00A856E3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175B66" w14:textId="77777777" w:rsidR="0082268F" w:rsidRDefault="0082268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FA25CCB" w14:textId="77777777" w:rsidR="0082268F" w:rsidRDefault="0082268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EF16E8" w14:textId="77777777" w:rsidR="00977827" w:rsidRDefault="0097782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B6B9" w14:textId="77777777" w:rsidR="003C788A" w:rsidRDefault="003C788A" w:rsidP="00B10EDD">
      <w:r>
        <w:separator/>
      </w:r>
    </w:p>
  </w:endnote>
  <w:endnote w:type="continuationSeparator" w:id="0">
    <w:p w14:paraId="4FB272CA" w14:textId="77777777" w:rsidR="003C788A" w:rsidRDefault="003C788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1E79" w14:textId="77777777" w:rsidR="003C788A" w:rsidRDefault="003C788A" w:rsidP="00B10EDD">
      <w:r>
        <w:separator/>
      </w:r>
    </w:p>
  </w:footnote>
  <w:footnote w:type="continuationSeparator" w:id="0">
    <w:p w14:paraId="5E035271" w14:textId="77777777" w:rsidR="003C788A" w:rsidRDefault="003C788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65D7903D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932C07" w:rsidRPr="00932C07">
      <w:rPr>
        <w:rFonts w:ascii="Helvetica" w:hAnsi="Helvetica"/>
        <w:b/>
        <w:bCs/>
        <w:color w:val="FFFFFF" w:themeColor="background1"/>
        <w:sz w:val="28"/>
        <w:szCs w:val="28"/>
      </w:rPr>
      <w:t>Jahressteuergesetz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362C7"/>
    <w:rsid w:val="00060346"/>
    <w:rsid w:val="000A4E1D"/>
    <w:rsid w:val="000A658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10106"/>
    <w:rsid w:val="002310C5"/>
    <w:rsid w:val="002314F6"/>
    <w:rsid w:val="00246633"/>
    <w:rsid w:val="002576D0"/>
    <w:rsid w:val="00264FED"/>
    <w:rsid w:val="002748A0"/>
    <w:rsid w:val="002864C8"/>
    <w:rsid w:val="00287837"/>
    <w:rsid w:val="002A28EE"/>
    <w:rsid w:val="002B27CC"/>
    <w:rsid w:val="002F5941"/>
    <w:rsid w:val="00336E01"/>
    <w:rsid w:val="00373F91"/>
    <w:rsid w:val="0037704E"/>
    <w:rsid w:val="00381440"/>
    <w:rsid w:val="00391C77"/>
    <w:rsid w:val="003A46F5"/>
    <w:rsid w:val="003A521E"/>
    <w:rsid w:val="003B528A"/>
    <w:rsid w:val="003B765D"/>
    <w:rsid w:val="003C788A"/>
    <w:rsid w:val="003F32AF"/>
    <w:rsid w:val="0040663D"/>
    <w:rsid w:val="00411AFA"/>
    <w:rsid w:val="00416AF4"/>
    <w:rsid w:val="00453026"/>
    <w:rsid w:val="00456536"/>
    <w:rsid w:val="00487941"/>
    <w:rsid w:val="00496D78"/>
    <w:rsid w:val="004B21AE"/>
    <w:rsid w:val="004C5113"/>
    <w:rsid w:val="004F1E6F"/>
    <w:rsid w:val="004F770A"/>
    <w:rsid w:val="00501D27"/>
    <w:rsid w:val="00523428"/>
    <w:rsid w:val="00530C1C"/>
    <w:rsid w:val="00532405"/>
    <w:rsid w:val="00541A74"/>
    <w:rsid w:val="005547C3"/>
    <w:rsid w:val="00555B16"/>
    <w:rsid w:val="005964BF"/>
    <w:rsid w:val="0060727C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6F41E2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173C"/>
    <w:rsid w:val="007D2401"/>
    <w:rsid w:val="007D7CA6"/>
    <w:rsid w:val="00801E60"/>
    <w:rsid w:val="008169E6"/>
    <w:rsid w:val="00821473"/>
    <w:rsid w:val="0082268F"/>
    <w:rsid w:val="00831257"/>
    <w:rsid w:val="00831F71"/>
    <w:rsid w:val="008404D3"/>
    <w:rsid w:val="00843659"/>
    <w:rsid w:val="00873B5C"/>
    <w:rsid w:val="00892F28"/>
    <w:rsid w:val="008B069C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2C07"/>
    <w:rsid w:val="00936A6A"/>
    <w:rsid w:val="0097180A"/>
    <w:rsid w:val="00977827"/>
    <w:rsid w:val="00977F4D"/>
    <w:rsid w:val="0098378C"/>
    <w:rsid w:val="00994182"/>
    <w:rsid w:val="009C21B9"/>
    <w:rsid w:val="009E3344"/>
    <w:rsid w:val="00A07730"/>
    <w:rsid w:val="00A15E69"/>
    <w:rsid w:val="00A20C9D"/>
    <w:rsid w:val="00A43411"/>
    <w:rsid w:val="00A646FC"/>
    <w:rsid w:val="00A762CE"/>
    <w:rsid w:val="00A856E3"/>
    <w:rsid w:val="00A86359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562E4"/>
    <w:rsid w:val="00B654D1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12EC2"/>
    <w:rsid w:val="00C32749"/>
    <w:rsid w:val="00C33A36"/>
    <w:rsid w:val="00C50C49"/>
    <w:rsid w:val="00C55226"/>
    <w:rsid w:val="00C62A3A"/>
    <w:rsid w:val="00C71A77"/>
    <w:rsid w:val="00C77E8E"/>
    <w:rsid w:val="00CA591B"/>
    <w:rsid w:val="00CA6111"/>
    <w:rsid w:val="00CD6924"/>
    <w:rsid w:val="00CE511D"/>
    <w:rsid w:val="00CF6047"/>
    <w:rsid w:val="00D20E38"/>
    <w:rsid w:val="00D3176D"/>
    <w:rsid w:val="00D37339"/>
    <w:rsid w:val="00D42B77"/>
    <w:rsid w:val="00D5016E"/>
    <w:rsid w:val="00D67499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3F5A"/>
    <w:rsid w:val="00E04E48"/>
    <w:rsid w:val="00E051BF"/>
    <w:rsid w:val="00E05B4A"/>
    <w:rsid w:val="00E26BB3"/>
    <w:rsid w:val="00E36095"/>
    <w:rsid w:val="00E40770"/>
    <w:rsid w:val="00E43A37"/>
    <w:rsid w:val="00E60FA9"/>
    <w:rsid w:val="00EA5987"/>
    <w:rsid w:val="00EC4FA6"/>
    <w:rsid w:val="00ED4352"/>
    <w:rsid w:val="00EE4118"/>
    <w:rsid w:val="00EF50D6"/>
    <w:rsid w:val="00F12F10"/>
    <w:rsid w:val="00F30E9D"/>
    <w:rsid w:val="00F87C30"/>
    <w:rsid w:val="00FB064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35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646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.shop.pl-x.de/fileadmin/content/wirtschaftswissen/SHOP/Praemien/VSM/VSO-Ausgaben/2025/Schatzmeister_aktuell_11_2025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.shop.pl-x.de/fileadmin/content/wirtschaftswissen/SHOP/Praemien/VSM/VSO-Ausgaben/2025/Schatzmeister_aktuell_11_2025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e.shop.pl-x.de/fileadmin/content/wirtschaftswissen/SHOP/Praemien/VSM/VSO-Ausgaben/2025/Schatzmeister_aktuell_11_2025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67</cp:revision>
  <cp:lastPrinted>2020-05-21T14:15:00Z</cp:lastPrinted>
  <dcterms:created xsi:type="dcterms:W3CDTF">2025-09-03T11:05:00Z</dcterms:created>
  <dcterms:modified xsi:type="dcterms:W3CDTF">2025-10-28T08:07:00Z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