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5D4DC0C9" w14:textId="77777777" w:rsidR="00B42491" w:rsidRPr="00B42491" w:rsidRDefault="00E32ED0" w:rsidP="00A2094E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</w:pPr>
          <w:r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Muster</w:t>
          </w:r>
          <w:r w:rsidR="00964FFD"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 xml:space="preserve">: </w:t>
          </w:r>
        </w:p>
        <w:p w14:paraId="759E559E" w14:textId="1410A319" w:rsidR="00DC69D4" w:rsidRPr="00DC69D4" w:rsidRDefault="00D82CB0" w:rsidP="00A2094E">
          <w:pPr>
            <w:jc w:val="center"/>
          </w:pPr>
          <w:r w:rsidRPr="00B42491">
            <w:rPr>
              <w:noProof/>
              <w:sz w:val="100"/>
              <w:szCs w:val="100"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42491">
            <w:rPr>
              <w:noProof/>
              <w:sz w:val="100"/>
              <w:szCs w:val="10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B42491"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KI-</w:t>
          </w:r>
          <w:proofErr w:type="spellStart"/>
          <w:r w:rsidR="00B42491"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Governance</w:t>
          </w:r>
          <w:proofErr w:type="spellEnd"/>
          <w:r w:rsidR="00B42491"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-Ordnung</w:t>
          </w:r>
          <w:r w:rsidR="00831F71">
            <w:br w:type="page"/>
          </w:r>
        </w:p>
      </w:sdtContent>
    </w:sdt>
    <w:p w14:paraId="058566FF" w14:textId="06CAE595" w:rsidR="000E2D64" w:rsidRPr="003D2E60" w:rsidRDefault="0014792F" w:rsidP="000E2D64">
      <w:pPr>
        <w:rPr>
          <w:rFonts w:cs="Times New Roman"/>
          <w:b/>
          <w:bCs/>
          <w:kern w:val="2"/>
          <w:sz w:val="32"/>
          <w:szCs w:val="32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lastRenderedPageBreak/>
        <w:t>MUSTER</w:t>
      </w:r>
      <w:r w:rsidR="000E2D64" w:rsidRPr="000E2D64">
        <w:rPr>
          <w:rStyle w:val="berschrift1Zchn"/>
          <w:rFonts w:ascii="Helvetica" w:eastAsia="Times New Roman" w:hAnsi="Helvetica"/>
          <w:b/>
          <w:bCs/>
          <w:color w:val="6D8E43"/>
        </w:rPr>
        <w:t xml:space="preserve"> für eine vereinsinterne „</w:t>
      </w:r>
      <w:proofErr w:type="spellStart"/>
      <w:r w:rsidR="000E2D64" w:rsidRPr="000E2D64">
        <w:rPr>
          <w:rStyle w:val="berschrift1Zchn"/>
          <w:rFonts w:ascii="Helvetica" w:eastAsia="Times New Roman" w:hAnsi="Helvetica"/>
          <w:b/>
          <w:bCs/>
          <w:color w:val="6D8E43"/>
        </w:rPr>
        <w:t>Governance</w:t>
      </w:r>
      <w:proofErr w:type="spellEnd"/>
      <w:r w:rsidR="000E2D64" w:rsidRPr="000E2D64">
        <w:rPr>
          <w:rStyle w:val="berschrift1Zchn"/>
          <w:rFonts w:ascii="Helvetica" w:eastAsia="Times New Roman" w:hAnsi="Helvetica"/>
          <w:b/>
          <w:bCs/>
          <w:color w:val="6D8E43"/>
        </w:rPr>
        <w:t>-Ordnung – digitale Werkzeuge und KI“</w:t>
      </w:r>
      <w:r w:rsidR="00920B66">
        <w:rPr>
          <w:rStyle w:val="berschrift1Zchn"/>
          <w:rFonts w:ascii="Helvetica" w:eastAsia="Times New Roman" w:hAnsi="Helvetica"/>
          <w:b/>
          <w:bCs/>
          <w:color w:val="6D8E43"/>
        </w:rPr>
        <w:br/>
      </w:r>
    </w:p>
    <w:p w14:paraId="69CCE8AD" w14:textId="77777777" w:rsidR="000E2D64" w:rsidRPr="003D2E60" w:rsidRDefault="000E2D64" w:rsidP="000E2D64">
      <w:pPr>
        <w:rPr>
          <w:rFonts w:cs="Times New Roman"/>
          <w:b/>
          <w:bCs/>
          <w:kern w:val="2"/>
        </w:rPr>
      </w:pPr>
    </w:p>
    <w:p w14:paraId="75071CD8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 Zweck und Geltungsbereich</w:t>
      </w:r>
    </w:p>
    <w:p w14:paraId="2CEA8F2B" w14:textId="77777777" w:rsidR="000E2D64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Diese Geschäftsordnung legt fest, wie der Verein digitale Werkzeuge – insbesondere Systeme mit künstlicher Intelligenz (KI) – auswählt, einsetzt und kontrolliert.</w:t>
      </w:r>
      <w:r>
        <w:rPr>
          <w:rFonts w:cs="Times New Roman"/>
          <w:bCs/>
          <w:kern w:val="2"/>
          <w:lang w:val="de-AT"/>
        </w:rPr>
        <w:t xml:space="preserve"> </w:t>
      </w:r>
      <w:r w:rsidRPr="003D2E60">
        <w:rPr>
          <w:rFonts w:cs="Times New Roman"/>
          <w:bCs/>
          <w:kern w:val="2"/>
          <w:lang w:val="de-AT"/>
        </w:rPr>
        <w:t>Sie gilt für alle Vorstandsmitglieder, Beauftragte, Beschäftigte und sonstige Personen, die im Auftrag des Vereins tätig sind.</w:t>
      </w:r>
    </w:p>
    <w:p w14:paraId="3D833279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Gesetzliche Vorgaben, wie sie insbesondere in der Datenschutz-Grundverordnung (DSGVO), im Bürgerlichen Gesetzbuch (BGB) und im Vereinsrecht stehen, haben immer Vorrang.</w:t>
      </w:r>
    </w:p>
    <w:p w14:paraId="6D341B3B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03058705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2 Wichtige Begriffe</w:t>
      </w:r>
    </w:p>
    <w:p w14:paraId="0619838A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KI-Werkzeug</w:t>
      </w:r>
      <w:r w:rsidRPr="003D2E60">
        <w:rPr>
          <w:rFonts w:cs="Times New Roman"/>
          <w:bCs/>
          <w:kern w:val="2"/>
          <w:lang w:val="de-AT"/>
        </w:rPr>
        <w:t>: Ein System, das Inhalte oder Entscheidungen automatisch erzeugt, unterstützt oder bewertet (z. B. Text-KI, Chatbots, automatische Datenanalysen).</w:t>
      </w:r>
    </w:p>
    <w:p w14:paraId="1BD80BDF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Personenbezogene Daten</w:t>
      </w:r>
      <w:r w:rsidRPr="003D2E60">
        <w:rPr>
          <w:rFonts w:cs="Times New Roman"/>
          <w:bCs/>
          <w:kern w:val="2"/>
          <w:lang w:val="de-AT"/>
        </w:rPr>
        <w:t>: Alle Informationen, die sich auf eine bestimmte Person beziehen lassen (Name, Adresse, E-Mail, Geburtsdatum, Bankdaten etc.).</w:t>
      </w:r>
    </w:p>
    <w:p w14:paraId="4A4C201A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Auftragsverarbeitungsvertrag</w:t>
      </w:r>
      <w:r w:rsidRPr="003D2E60">
        <w:rPr>
          <w:rFonts w:cs="Times New Roman"/>
          <w:bCs/>
          <w:kern w:val="2"/>
          <w:lang w:val="de-AT"/>
        </w:rPr>
        <w:t xml:space="preserve"> (AV-Vertrag): Vertrag mit einem externen Dienstleister, der personenbezogene Daten im Auftrag des Vereins verarbeitet (Art. 28 DSGVO).</w:t>
      </w:r>
    </w:p>
    <w:p w14:paraId="65785594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547805E7" w14:textId="77777777" w:rsidR="000E2D64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3 Grundprinzipien beim Einsatz von KI</w:t>
      </w:r>
    </w:p>
    <w:p w14:paraId="1B87416B" w14:textId="77777777" w:rsidR="000E2D64" w:rsidRPr="003D2E60" w:rsidRDefault="000E2D64" w:rsidP="000E2D64">
      <w:pPr>
        <w:rPr>
          <w:rFonts w:cs="Times New Roman"/>
          <w:kern w:val="2"/>
          <w:lang w:val="de-AT"/>
        </w:rPr>
      </w:pPr>
      <w:r>
        <w:rPr>
          <w:rFonts w:cs="Times New Roman"/>
          <w:kern w:val="2"/>
          <w:lang w:val="de-AT"/>
        </w:rPr>
        <w:t>Beim Einsatz von künstlicher Intelligenz gelten in unserem Verein folgende Grundprinzipien:</w:t>
      </w:r>
    </w:p>
    <w:p w14:paraId="2EE558D3" w14:textId="77777777" w:rsidR="000E2D64" w:rsidRPr="003D2E60" w:rsidRDefault="000E2D64" w:rsidP="000E2D64">
      <w:pPr>
        <w:numPr>
          <w:ilvl w:val="0"/>
          <w:numId w:val="8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Zweckbindung und Datenminimierung</w:t>
      </w:r>
      <w:r w:rsidRPr="003D2E60">
        <w:rPr>
          <w:rFonts w:cs="Times New Roman"/>
          <w:bCs/>
          <w:kern w:val="2"/>
          <w:lang w:val="de-AT"/>
        </w:rPr>
        <w:t>: Wir nutzen KI nur für Vereinsaufgaben und verarbeiten nur so viele Daten wie unbedingt nötig.</w:t>
      </w:r>
    </w:p>
    <w:p w14:paraId="2F8D5DE9" w14:textId="77777777" w:rsidR="000E2D64" w:rsidRPr="003D2E60" w:rsidRDefault="000E2D64" w:rsidP="000E2D64">
      <w:pPr>
        <w:numPr>
          <w:ilvl w:val="0"/>
          <w:numId w:val="8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Transparenz und Nachvollziehbarkeit</w:t>
      </w:r>
      <w:r w:rsidRPr="003D2E60">
        <w:rPr>
          <w:rFonts w:cs="Times New Roman"/>
          <w:bCs/>
          <w:kern w:val="2"/>
          <w:lang w:val="de-AT"/>
        </w:rPr>
        <w:t>: Ergebnisse müssen prüfbar sein. Wichtige Arbeitsschritte dokumentieren wir.</w:t>
      </w:r>
    </w:p>
    <w:p w14:paraId="5D588384" w14:textId="77777777" w:rsidR="000E2D64" w:rsidRPr="003D2E60" w:rsidRDefault="000E2D64" w:rsidP="000E2D64">
      <w:pPr>
        <w:numPr>
          <w:ilvl w:val="0"/>
          <w:numId w:val="8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Menschliche Entscheidung</w:t>
      </w:r>
      <w:r w:rsidRPr="003D2E60">
        <w:rPr>
          <w:rFonts w:cs="Times New Roman"/>
          <w:bCs/>
          <w:kern w:val="2"/>
          <w:lang w:val="de-AT"/>
        </w:rPr>
        <w:t>: Entscheidungen mit erheblicher Wirkung</w:t>
      </w:r>
      <w:r>
        <w:rPr>
          <w:rFonts w:cs="Times New Roman"/>
          <w:bCs/>
          <w:kern w:val="2"/>
          <w:lang w:val="de-AT"/>
        </w:rPr>
        <w:t>,</w:t>
      </w:r>
      <w:r w:rsidRPr="003D2E60">
        <w:rPr>
          <w:rFonts w:cs="Times New Roman"/>
          <w:bCs/>
          <w:kern w:val="2"/>
          <w:lang w:val="de-AT"/>
        </w:rPr>
        <w:t xml:space="preserve"> z</w:t>
      </w:r>
      <w:r>
        <w:rPr>
          <w:rFonts w:cs="Times New Roman"/>
          <w:bCs/>
          <w:kern w:val="2"/>
          <w:lang w:val="de-AT"/>
        </w:rPr>
        <w:t xml:space="preserve">. </w:t>
      </w:r>
      <w:r w:rsidRPr="003D2E60">
        <w:rPr>
          <w:rFonts w:cs="Times New Roman"/>
          <w:bCs/>
          <w:kern w:val="2"/>
          <w:lang w:val="de-AT"/>
        </w:rPr>
        <w:t>B</w:t>
      </w:r>
      <w:r>
        <w:rPr>
          <w:rFonts w:cs="Times New Roman"/>
          <w:bCs/>
          <w:kern w:val="2"/>
          <w:lang w:val="de-AT"/>
        </w:rPr>
        <w:t>.</w:t>
      </w:r>
      <w:r w:rsidRPr="003D2E60">
        <w:rPr>
          <w:rFonts w:cs="Times New Roman"/>
          <w:bCs/>
          <w:kern w:val="2"/>
          <w:lang w:val="de-AT"/>
        </w:rPr>
        <w:t xml:space="preserve"> Ausschlüsse, Mahnungen oder Personalfragen</w:t>
      </w:r>
      <w:r>
        <w:rPr>
          <w:rFonts w:cs="Times New Roman"/>
          <w:bCs/>
          <w:kern w:val="2"/>
          <w:lang w:val="de-AT"/>
        </w:rPr>
        <w:t>,</w:t>
      </w:r>
      <w:r w:rsidRPr="003D2E60">
        <w:rPr>
          <w:rFonts w:cs="Times New Roman"/>
          <w:bCs/>
          <w:kern w:val="2"/>
          <w:lang w:val="de-AT"/>
        </w:rPr>
        <w:t xml:space="preserve"> werden immer von einer Person final geprüft.</w:t>
      </w:r>
    </w:p>
    <w:p w14:paraId="27BA50EC" w14:textId="77777777" w:rsidR="000E2D64" w:rsidRPr="003D2E60" w:rsidRDefault="000E2D64" w:rsidP="000E2D64">
      <w:pPr>
        <w:numPr>
          <w:ilvl w:val="0"/>
          <w:numId w:val="8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Sicherheit als Standard</w:t>
      </w:r>
      <w:r w:rsidRPr="003D2E60">
        <w:rPr>
          <w:rFonts w:cs="Times New Roman"/>
          <w:bCs/>
          <w:kern w:val="2"/>
          <w:lang w:val="de-AT"/>
        </w:rPr>
        <w:t>: Wir setzen auf sichere Passwörter, Zwei-Faktor-Anmeldung und klare Zugriffsrechte.</w:t>
      </w:r>
    </w:p>
    <w:p w14:paraId="31BF2BC7" w14:textId="77777777" w:rsidR="000E2D64" w:rsidRPr="003D2E60" w:rsidRDefault="000E2D64" w:rsidP="000E2D64">
      <w:pPr>
        <w:numPr>
          <w:ilvl w:val="0"/>
          <w:numId w:val="8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Keine besonders sensiblen Daten in offene KI-Dienste</w:t>
      </w:r>
      <w:r w:rsidRPr="003D2E60">
        <w:rPr>
          <w:rFonts w:cs="Times New Roman"/>
          <w:bCs/>
          <w:kern w:val="2"/>
          <w:lang w:val="de-AT"/>
        </w:rPr>
        <w:t>: Gesundheitsdaten, Religion, politische Meinungen usw. laden wir nicht in frei zugängliche KI-Systeme hoch.</w:t>
      </w:r>
    </w:p>
    <w:p w14:paraId="0DFF340F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127CD0DC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4 Zuständigkeiten</w:t>
      </w:r>
    </w:p>
    <w:p w14:paraId="59653E3E" w14:textId="77777777" w:rsidR="000E2D64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Damit der Einsatz von digitalen Werkzeugen und KI reibungslos funktioniert, hat jede Rolle klare Aufgaben:</w:t>
      </w:r>
    </w:p>
    <w:p w14:paraId="1C11C4D1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70B835CD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Vorstand gesamt</w:t>
      </w:r>
      <w:r w:rsidRPr="003D2E60">
        <w:rPr>
          <w:rFonts w:cs="Times New Roman"/>
          <w:bCs/>
          <w:kern w:val="2"/>
          <w:lang w:val="de-AT"/>
        </w:rPr>
        <w:t xml:space="preserve">: </w:t>
      </w:r>
      <w:r>
        <w:rPr>
          <w:rFonts w:cs="Times New Roman"/>
          <w:bCs/>
          <w:kern w:val="2"/>
          <w:lang w:val="de-AT"/>
        </w:rPr>
        <w:t>l</w:t>
      </w:r>
      <w:r w:rsidRPr="003D2E60">
        <w:rPr>
          <w:rFonts w:cs="Times New Roman"/>
          <w:bCs/>
          <w:kern w:val="2"/>
          <w:lang w:val="de-AT"/>
        </w:rPr>
        <w:t>egt die Strategie fest, genehmigt den Einsatz neuer Tools und überprüft jährlich deren Nutzen und Sicherheit.</w:t>
      </w:r>
    </w:p>
    <w:p w14:paraId="65F4FC4C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Vorsitz</w:t>
      </w:r>
      <w:r>
        <w:rPr>
          <w:rFonts w:cs="Times New Roman"/>
          <w:b/>
          <w:bCs/>
          <w:kern w:val="2"/>
          <w:lang w:val="de-AT"/>
        </w:rPr>
        <w:t>ender</w:t>
      </w:r>
      <w:r w:rsidRPr="003D2E60">
        <w:rPr>
          <w:rFonts w:cs="Times New Roman"/>
          <w:bCs/>
          <w:kern w:val="2"/>
          <w:lang w:val="de-AT"/>
        </w:rPr>
        <w:t>: Gesamtverantwortung, entscheidet bei Problemen oder Sicherheitsvorfällen.</w:t>
      </w:r>
    </w:p>
    <w:p w14:paraId="027FCF26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Schatzmeister</w:t>
      </w:r>
      <w:r w:rsidRPr="003D2E60">
        <w:rPr>
          <w:rFonts w:cs="Times New Roman"/>
          <w:bCs/>
          <w:kern w:val="2"/>
          <w:lang w:val="de-AT"/>
        </w:rPr>
        <w:t xml:space="preserve">: </w:t>
      </w:r>
      <w:r>
        <w:rPr>
          <w:rFonts w:cs="Times New Roman"/>
          <w:bCs/>
          <w:kern w:val="2"/>
          <w:lang w:val="de-AT"/>
        </w:rPr>
        <w:t>p</w:t>
      </w:r>
      <w:r w:rsidRPr="003D2E60">
        <w:rPr>
          <w:rFonts w:cs="Times New Roman"/>
          <w:bCs/>
          <w:kern w:val="2"/>
          <w:lang w:val="de-AT"/>
        </w:rPr>
        <w:t>rüft Kosten, Lizenzen und Freigaben z. B. für automatisierte Mahnverfahren.</w:t>
      </w:r>
    </w:p>
    <w:p w14:paraId="7C3A889E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IT-Beauftragte/r oder externer Fachmann</w:t>
      </w:r>
      <w:r w:rsidRPr="003D2E60">
        <w:rPr>
          <w:rFonts w:cs="Times New Roman"/>
          <w:bCs/>
          <w:kern w:val="2"/>
          <w:lang w:val="de-AT"/>
        </w:rPr>
        <w:t xml:space="preserve">: </w:t>
      </w:r>
      <w:r>
        <w:rPr>
          <w:rFonts w:cs="Times New Roman"/>
          <w:bCs/>
          <w:kern w:val="2"/>
          <w:lang w:val="de-AT"/>
        </w:rPr>
        <w:t>p</w:t>
      </w:r>
      <w:r w:rsidRPr="003D2E60">
        <w:rPr>
          <w:rFonts w:cs="Times New Roman"/>
          <w:bCs/>
          <w:kern w:val="2"/>
          <w:lang w:val="de-AT"/>
        </w:rPr>
        <w:t>rüft neue Tools technisch, richtet sie sicher ein, verwaltet Benutzerrechte.</w:t>
      </w:r>
    </w:p>
    <w:p w14:paraId="6C980EDB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lastRenderedPageBreak/>
        <w:t>Datenschutzbeauftragte/r oder -koordinator/in</w:t>
      </w:r>
      <w:r w:rsidRPr="003D2E60">
        <w:rPr>
          <w:rFonts w:cs="Times New Roman"/>
          <w:bCs/>
          <w:kern w:val="2"/>
          <w:lang w:val="de-AT"/>
        </w:rPr>
        <w:t xml:space="preserve">: </w:t>
      </w:r>
      <w:r>
        <w:rPr>
          <w:rFonts w:cs="Times New Roman"/>
          <w:bCs/>
          <w:kern w:val="2"/>
          <w:lang w:val="de-AT"/>
        </w:rPr>
        <w:t>s</w:t>
      </w:r>
      <w:r w:rsidRPr="003D2E60">
        <w:rPr>
          <w:rFonts w:cs="Times New Roman"/>
          <w:bCs/>
          <w:kern w:val="2"/>
          <w:lang w:val="de-AT"/>
        </w:rPr>
        <w:t>tellt sicher, dass alle gesetzlichen Datenschutzregeln eingehalten werden, prüft AV-Verträge, führt Verzeichnisse und Löschkonzepte.</w:t>
      </w:r>
    </w:p>
    <w:p w14:paraId="207EE943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Fachverantwortliche</w:t>
      </w:r>
      <w:r w:rsidRPr="003D2E60">
        <w:rPr>
          <w:rFonts w:cs="Times New Roman"/>
          <w:bCs/>
          <w:kern w:val="2"/>
          <w:lang w:val="de-AT"/>
        </w:rPr>
        <w:t xml:space="preserve"> (z. B. Leiter/in Mitgliederverwaltung): </w:t>
      </w:r>
      <w:r>
        <w:rPr>
          <w:rFonts w:cs="Times New Roman"/>
          <w:bCs/>
          <w:kern w:val="2"/>
          <w:lang w:val="de-AT"/>
        </w:rPr>
        <w:t>p</w:t>
      </w:r>
      <w:r w:rsidRPr="003D2E60">
        <w:rPr>
          <w:rFonts w:cs="Times New Roman"/>
          <w:bCs/>
          <w:kern w:val="2"/>
          <w:lang w:val="de-AT"/>
        </w:rPr>
        <w:t>rüfen die inhaltliche Qualität der Ergebnisse und achten darauf, dass die KI-Ausgaben korrekt sind.</w:t>
      </w:r>
    </w:p>
    <w:p w14:paraId="3FC77300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6193A1A9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5 Datenarten – Ampelprinzip</w:t>
      </w:r>
    </w:p>
    <w:p w14:paraId="77ADC85A" w14:textId="77777777" w:rsidR="000E2D64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Damit wir immer wissen, welche Daten wie geschützt werden müssen, teilen wir sie in drei Kategorien ein:</w:t>
      </w:r>
    </w:p>
    <w:p w14:paraId="60EC1D7A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5D33CA07" w14:textId="77777777" w:rsidR="000E2D64" w:rsidRPr="003D2E60" w:rsidRDefault="000E2D64" w:rsidP="000E2D64">
      <w:pPr>
        <w:numPr>
          <w:ilvl w:val="0"/>
          <w:numId w:val="6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Rot (streng geschützt – nie in offene KI-Dienste hochladen)</w:t>
      </w:r>
      <w:r w:rsidRPr="003D2E60">
        <w:rPr>
          <w:rFonts w:cs="Times New Roman"/>
          <w:bCs/>
          <w:kern w:val="2"/>
          <w:lang w:val="de-AT"/>
        </w:rPr>
        <w:t>: z. B. Gesundheitsdaten, Religion, Daten von Minderjährigen, Bank- oder Spendenkontodaten, Strafdaten. Diese dürfen nur in speziell gesicherten, vertraglich abgesicherten Systemen verarbeitet werden.</w:t>
      </w:r>
    </w:p>
    <w:p w14:paraId="26DA6049" w14:textId="77777777" w:rsidR="000E2D64" w:rsidRPr="003D2E60" w:rsidRDefault="000E2D64" w:rsidP="000E2D64">
      <w:pPr>
        <w:numPr>
          <w:ilvl w:val="0"/>
          <w:numId w:val="6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Gelb (geschützt – nur unter Auflagen)</w:t>
      </w:r>
      <w:r w:rsidRPr="003D2E60">
        <w:rPr>
          <w:rFonts w:cs="Times New Roman"/>
          <w:bCs/>
          <w:kern w:val="2"/>
          <w:lang w:val="de-AT"/>
        </w:rPr>
        <w:t>: z. B. Namen, Adressen, Mitgliedsnummern, Teilnahme- oder Beitragsdaten. Nur in sicheren Systemen mit AV-Vertrag und Speicherort in der EU/EWR.</w:t>
      </w:r>
    </w:p>
    <w:p w14:paraId="22ACA005" w14:textId="77777777" w:rsidR="000E2D64" w:rsidRPr="003D2E60" w:rsidRDefault="000E2D64" w:rsidP="000E2D64">
      <w:pPr>
        <w:numPr>
          <w:ilvl w:val="0"/>
          <w:numId w:val="6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Grün (unproblematisch)</w:t>
      </w:r>
      <w:r w:rsidRPr="003D2E60">
        <w:rPr>
          <w:rFonts w:cs="Times New Roman"/>
          <w:bCs/>
          <w:kern w:val="2"/>
          <w:lang w:val="de-AT"/>
        </w:rPr>
        <w:t>: z. B. anonymisierte Listen, öffentlich zugängliche Vereinsinformationen. Frei nutzbar.</w:t>
      </w:r>
    </w:p>
    <w:p w14:paraId="5383AEF1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7DDB2631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 xml:space="preserve">§ 6 </w:t>
      </w:r>
      <w:r>
        <w:rPr>
          <w:rFonts w:cs="Times New Roman"/>
          <w:b/>
          <w:bCs/>
          <w:kern w:val="2"/>
          <w:lang w:val="de-AT"/>
        </w:rPr>
        <w:t>Einführung neuer Tools</w:t>
      </w:r>
    </w:p>
    <w:p w14:paraId="5B55336A" w14:textId="77777777" w:rsidR="000E2D64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 xml:space="preserve">Bevor ein digitales Werkzeug oder eine KI genutzt wird, </w:t>
      </w:r>
      <w:r>
        <w:rPr>
          <w:rFonts w:cs="Times New Roman"/>
          <w:bCs/>
          <w:kern w:val="2"/>
          <w:lang w:val="de-AT"/>
        </w:rPr>
        <w:t>wird</w:t>
      </w:r>
      <w:r w:rsidRPr="003D2E60">
        <w:rPr>
          <w:rFonts w:cs="Times New Roman"/>
          <w:bCs/>
          <w:kern w:val="2"/>
          <w:lang w:val="de-AT"/>
        </w:rPr>
        <w:t xml:space="preserve"> folgender Prozess</w:t>
      </w:r>
      <w:r>
        <w:rPr>
          <w:rFonts w:cs="Times New Roman"/>
          <w:bCs/>
          <w:kern w:val="2"/>
          <w:lang w:val="de-AT"/>
        </w:rPr>
        <w:t xml:space="preserve"> durchlaufen</w:t>
      </w:r>
      <w:r w:rsidRPr="003D2E60">
        <w:rPr>
          <w:rFonts w:cs="Times New Roman"/>
          <w:bCs/>
          <w:kern w:val="2"/>
          <w:lang w:val="de-AT"/>
        </w:rPr>
        <w:t>:</w:t>
      </w:r>
    </w:p>
    <w:p w14:paraId="6EA24F08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63BEEAD4" w14:textId="77777777" w:rsidR="000E2D64" w:rsidRPr="003D2E60" w:rsidRDefault="000E2D64" w:rsidP="000E2D64">
      <w:pPr>
        <w:numPr>
          <w:ilvl w:val="0"/>
          <w:numId w:val="9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Antrag stellen</w:t>
      </w:r>
      <w:r w:rsidRPr="003D2E60">
        <w:rPr>
          <w:rFonts w:cs="Times New Roman"/>
          <w:bCs/>
          <w:kern w:val="2"/>
          <w:lang w:val="de-AT"/>
        </w:rPr>
        <w:t>: Die Person, die das Tool nutzen möchte, beschreibt den Zweck, die Art der Daten (Ampel</w:t>
      </w:r>
      <w:r>
        <w:rPr>
          <w:rFonts w:cs="Times New Roman"/>
          <w:bCs/>
          <w:kern w:val="2"/>
          <w:lang w:val="de-AT"/>
        </w:rPr>
        <w:t>f</w:t>
      </w:r>
      <w:r w:rsidRPr="003D2E60">
        <w:rPr>
          <w:rFonts w:cs="Times New Roman"/>
          <w:bCs/>
          <w:kern w:val="2"/>
          <w:lang w:val="de-AT"/>
        </w:rPr>
        <w:t>arbe), den Anbieter, den Speicherort und die Kosten.</w:t>
      </w:r>
    </w:p>
    <w:p w14:paraId="2E43A9D9" w14:textId="77777777" w:rsidR="000E2D64" w:rsidRPr="003D2E60" w:rsidRDefault="000E2D64" w:rsidP="000E2D64">
      <w:pPr>
        <w:numPr>
          <w:ilvl w:val="0"/>
          <w:numId w:val="9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Prüfung</w:t>
      </w:r>
      <w:r w:rsidRPr="003D2E60">
        <w:rPr>
          <w:rFonts w:cs="Times New Roman"/>
          <w:bCs/>
          <w:kern w:val="2"/>
          <w:lang w:val="de-AT"/>
        </w:rPr>
        <w:t>: IT-Beauftragter und Datenschutzbeauftragter prüfen Technik und Datenschutz, der Schatzmeister die Kosten.</w:t>
      </w:r>
    </w:p>
    <w:p w14:paraId="74D7B3B5" w14:textId="77777777" w:rsidR="000E2D64" w:rsidRPr="003D2E60" w:rsidRDefault="000E2D64" w:rsidP="000E2D64">
      <w:pPr>
        <w:numPr>
          <w:ilvl w:val="0"/>
          <w:numId w:val="9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Testphase</w:t>
      </w:r>
      <w:r w:rsidRPr="003D2E60">
        <w:rPr>
          <w:rFonts w:cs="Times New Roman"/>
          <w:bCs/>
          <w:kern w:val="2"/>
          <w:lang w:val="de-AT"/>
        </w:rPr>
        <w:t>: Wir testen mit anonymisierten oder fiktiven Daten.</w:t>
      </w:r>
    </w:p>
    <w:p w14:paraId="12162AB5" w14:textId="77777777" w:rsidR="000E2D64" w:rsidRPr="003D2E60" w:rsidRDefault="000E2D64" w:rsidP="000E2D64">
      <w:pPr>
        <w:numPr>
          <w:ilvl w:val="0"/>
          <w:numId w:val="9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Vorstandsbeschluss</w:t>
      </w:r>
      <w:r w:rsidRPr="003D2E60">
        <w:rPr>
          <w:rFonts w:cs="Times New Roman"/>
          <w:bCs/>
          <w:kern w:val="2"/>
          <w:lang w:val="de-AT"/>
        </w:rPr>
        <w:t>: Der Vorstand entscheidet, ob das Tool offiziell eingeführt wird (Freigabe meist für 12 Monate, dann erneute Prüfung).</w:t>
      </w:r>
    </w:p>
    <w:p w14:paraId="77711048" w14:textId="77777777" w:rsidR="000E2D64" w:rsidRPr="003D2E60" w:rsidRDefault="000E2D64" w:rsidP="000E2D64">
      <w:pPr>
        <w:numPr>
          <w:ilvl w:val="0"/>
          <w:numId w:val="9"/>
        </w:numPr>
        <w:tabs>
          <w:tab w:val="clear" w:pos="36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Dokumentation</w:t>
      </w:r>
      <w:r w:rsidRPr="003D2E60">
        <w:rPr>
          <w:rFonts w:cs="Times New Roman"/>
          <w:bCs/>
          <w:kern w:val="2"/>
          <w:lang w:val="de-AT"/>
        </w:rPr>
        <w:t>: Das Tool wird in einer internen Liste („Toolkataster“) erfasst.</w:t>
      </w:r>
    </w:p>
    <w:p w14:paraId="478A92A4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2A287A6A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7 Regeln für den Umgang mit KI</w:t>
      </w:r>
    </w:p>
    <w:p w14:paraId="6DED105E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>Beim Umgang mit künstlicher Intelligenz in der alltäglichen Arbeit gelten folgende Regeln:</w:t>
      </w:r>
    </w:p>
    <w:p w14:paraId="3A99DA83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3B60B0E0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Keine sensiblen Daten hochladen</w:t>
      </w:r>
      <w:r>
        <w:rPr>
          <w:rFonts w:cs="Times New Roman"/>
          <w:b/>
          <w:bCs/>
          <w:kern w:val="2"/>
          <w:lang w:val="de-AT"/>
        </w:rPr>
        <w:t>:</w:t>
      </w:r>
      <w:r w:rsidRPr="003D2E60">
        <w:rPr>
          <w:rFonts w:cs="Times New Roman"/>
          <w:bCs/>
          <w:kern w:val="2"/>
          <w:lang w:val="de-AT"/>
        </w:rPr>
        <w:t xml:space="preserve"> </w:t>
      </w:r>
      <w:r>
        <w:rPr>
          <w:rFonts w:cs="Times New Roman"/>
          <w:bCs/>
          <w:kern w:val="2"/>
          <w:lang w:val="de-AT"/>
        </w:rPr>
        <w:t xml:space="preserve">Streng geschützte </w:t>
      </w:r>
      <w:r w:rsidRPr="003D2E60">
        <w:rPr>
          <w:rFonts w:cs="Times New Roman"/>
          <w:bCs/>
          <w:kern w:val="2"/>
          <w:lang w:val="de-AT"/>
        </w:rPr>
        <w:t>(</w:t>
      </w:r>
      <w:r>
        <w:rPr>
          <w:rFonts w:cs="Times New Roman"/>
          <w:bCs/>
          <w:kern w:val="2"/>
          <w:lang w:val="de-AT"/>
        </w:rPr>
        <w:t>r</w:t>
      </w:r>
      <w:r w:rsidRPr="003D2E60">
        <w:rPr>
          <w:rFonts w:cs="Times New Roman"/>
          <w:bCs/>
          <w:kern w:val="2"/>
          <w:lang w:val="de-AT"/>
        </w:rPr>
        <w:t>ot) und geschützte Daten (</w:t>
      </w:r>
      <w:r>
        <w:rPr>
          <w:rFonts w:cs="Times New Roman"/>
          <w:bCs/>
          <w:kern w:val="2"/>
          <w:lang w:val="de-AT"/>
        </w:rPr>
        <w:t>g</w:t>
      </w:r>
      <w:r w:rsidRPr="003D2E60">
        <w:rPr>
          <w:rFonts w:cs="Times New Roman"/>
          <w:bCs/>
          <w:kern w:val="2"/>
          <w:lang w:val="de-AT"/>
        </w:rPr>
        <w:t xml:space="preserve">elb) </w:t>
      </w:r>
      <w:r>
        <w:rPr>
          <w:rFonts w:cs="Times New Roman"/>
          <w:bCs/>
          <w:kern w:val="2"/>
          <w:lang w:val="de-AT"/>
        </w:rPr>
        <w:t xml:space="preserve">werden </w:t>
      </w:r>
      <w:r w:rsidRPr="003D2E60">
        <w:rPr>
          <w:rFonts w:cs="Times New Roman"/>
          <w:bCs/>
          <w:kern w:val="2"/>
          <w:lang w:val="de-AT"/>
        </w:rPr>
        <w:t>nur mit Genehmigung und Sicherheitsmaßnahmen</w:t>
      </w:r>
      <w:r>
        <w:rPr>
          <w:rFonts w:cs="Times New Roman"/>
          <w:bCs/>
          <w:kern w:val="2"/>
          <w:lang w:val="de-AT"/>
        </w:rPr>
        <w:t xml:space="preserve"> verwendet</w:t>
      </w:r>
      <w:r w:rsidRPr="003D2E60">
        <w:rPr>
          <w:rFonts w:cs="Times New Roman"/>
          <w:bCs/>
          <w:kern w:val="2"/>
          <w:lang w:val="de-AT"/>
        </w:rPr>
        <w:t>.</w:t>
      </w:r>
    </w:p>
    <w:p w14:paraId="076E60B0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Vier-Augen-Prinzip</w:t>
      </w:r>
      <w:r w:rsidRPr="003D2E60">
        <w:rPr>
          <w:rFonts w:cs="Times New Roman"/>
          <w:bCs/>
          <w:kern w:val="2"/>
          <w:lang w:val="de-AT"/>
        </w:rPr>
        <w:t>: Bei wichtigen Inhalten wie Rechtstexten, Finanzen oder offiziellen Schreiben prüft eine zweite Person das KI-Ergebnis.</w:t>
      </w:r>
    </w:p>
    <w:p w14:paraId="307FF536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Kennzeichnung</w:t>
      </w:r>
      <w:r w:rsidRPr="003D2E60">
        <w:rPr>
          <w:rFonts w:cs="Times New Roman"/>
          <w:bCs/>
          <w:kern w:val="2"/>
          <w:lang w:val="de-AT"/>
        </w:rPr>
        <w:t>: Automatisch erstellte Texte werden intern mit „KI-assistiert“ gekennzeichnet.</w:t>
      </w:r>
    </w:p>
    <w:p w14:paraId="37EEF814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Kein Alleingang der KI</w:t>
      </w:r>
      <w:r w:rsidRPr="003D2E60">
        <w:rPr>
          <w:rFonts w:cs="Times New Roman"/>
          <w:bCs/>
          <w:kern w:val="2"/>
          <w:lang w:val="de-AT"/>
        </w:rPr>
        <w:t>: Entscheidungen mit Folgen für Mitglieder trifft immer ein Mensch, die KI darf nur vorbereiten.</w:t>
      </w:r>
    </w:p>
    <w:p w14:paraId="65AFDA79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265D518A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lastRenderedPageBreak/>
        <w:t>§ 8 Automatisierte Abläufe (z. B. Mahnungen)</w:t>
      </w:r>
    </w:p>
    <w:p w14:paraId="650DDF17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Automatisierungen dürfen eingesetzt werden, wenn:</w:t>
      </w:r>
    </w:p>
    <w:p w14:paraId="60346BE4" w14:textId="77777777" w:rsidR="000E2D64" w:rsidRPr="003D2E60" w:rsidRDefault="000E2D64" w:rsidP="000E2D64">
      <w:pPr>
        <w:numPr>
          <w:ilvl w:val="0"/>
          <w:numId w:val="7"/>
        </w:num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eine Rechtsgrundlage besteht (z. B. Mitgliedsvertrag, Satzung),</w:t>
      </w:r>
    </w:p>
    <w:p w14:paraId="561BF14E" w14:textId="77777777" w:rsidR="000E2D64" w:rsidRPr="003D2E60" w:rsidRDefault="000E2D64" w:rsidP="000E2D64">
      <w:pPr>
        <w:numPr>
          <w:ilvl w:val="0"/>
          <w:numId w:val="7"/>
        </w:num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die Textbausteine vorher geprüft wurden,</w:t>
      </w:r>
    </w:p>
    <w:p w14:paraId="09051142" w14:textId="77777777" w:rsidR="000E2D64" w:rsidRPr="003D2E60" w:rsidRDefault="000E2D64" w:rsidP="000E2D64">
      <w:pPr>
        <w:numPr>
          <w:ilvl w:val="0"/>
          <w:numId w:val="7"/>
        </w:num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bei Härtefällen eine manuelle Endkontrolle erfolgt,</w:t>
      </w:r>
    </w:p>
    <w:p w14:paraId="2273D53D" w14:textId="77777777" w:rsidR="000E2D64" w:rsidRPr="003D2E60" w:rsidRDefault="000E2D64" w:rsidP="000E2D64">
      <w:pPr>
        <w:numPr>
          <w:ilvl w:val="0"/>
          <w:numId w:val="7"/>
        </w:num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der Versand über die zulässigen Kanäle erfolgt (z. B. E-Mail oder Brief laut Satzung),</w:t>
      </w:r>
    </w:p>
    <w:p w14:paraId="50C84AD8" w14:textId="77777777" w:rsidR="000E2D64" w:rsidRPr="003D2E60" w:rsidRDefault="000E2D64" w:rsidP="000E2D64">
      <w:pPr>
        <w:numPr>
          <w:ilvl w:val="0"/>
          <w:numId w:val="7"/>
        </w:num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alle Vorgänge protokolliert werden (Datum, Empfänger, verantwortliche Person).</w:t>
      </w:r>
    </w:p>
    <w:p w14:paraId="2EEC1776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324CDF49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9 Sicherheit und Zugriffsrechte</w:t>
      </w:r>
    </w:p>
    <w:p w14:paraId="4A1ED00E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(1) </w:t>
      </w:r>
      <w:r w:rsidRPr="003D2E60">
        <w:rPr>
          <w:rFonts w:cs="Times New Roman"/>
          <w:bCs/>
          <w:kern w:val="2"/>
          <w:lang w:val="de-AT"/>
        </w:rPr>
        <w:t xml:space="preserve">Zugriffsrechte </w:t>
      </w:r>
      <w:r>
        <w:rPr>
          <w:rFonts w:cs="Times New Roman"/>
          <w:bCs/>
          <w:kern w:val="2"/>
          <w:lang w:val="de-AT"/>
        </w:rPr>
        <w:t xml:space="preserve">werden </w:t>
      </w:r>
      <w:r w:rsidRPr="003D2E60">
        <w:rPr>
          <w:rFonts w:cs="Times New Roman"/>
          <w:bCs/>
          <w:kern w:val="2"/>
          <w:lang w:val="de-AT"/>
        </w:rPr>
        <w:t>nur so weit wie nötig („Need-</w:t>
      </w:r>
      <w:proofErr w:type="spellStart"/>
      <w:r w:rsidRPr="003D2E60">
        <w:rPr>
          <w:rFonts w:cs="Times New Roman"/>
          <w:bCs/>
          <w:kern w:val="2"/>
          <w:lang w:val="de-AT"/>
        </w:rPr>
        <w:t>to</w:t>
      </w:r>
      <w:proofErr w:type="spellEnd"/>
      <w:r w:rsidRPr="003D2E60">
        <w:rPr>
          <w:rFonts w:cs="Times New Roman"/>
          <w:bCs/>
          <w:kern w:val="2"/>
          <w:lang w:val="de-AT"/>
        </w:rPr>
        <w:t>-</w:t>
      </w:r>
      <w:proofErr w:type="spellStart"/>
      <w:r w:rsidRPr="003D2E60">
        <w:rPr>
          <w:rFonts w:cs="Times New Roman"/>
          <w:bCs/>
          <w:kern w:val="2"/>
          <w:lang w:val="de-AT"/>
        </w:rPr>
        <w:t>know</w:t>
      </w:r>
      <w:proofErr w:type="spellEnd"/>
      <w:r w:rsidRPr="003D2E60">
        <w:rPr>
          <w:rFonts w:cs="Times New Roman"/>
          <w:bCs/>
          <w:kern w:val="2"/>
          <w:lang w:val="de-AT"/>
        </w:rPr>
        <w:t>-Prinzip“)</w:t>
      </w:r>
      <w:r>
        <w:rPr>
          <w:rFonts w:cs="Times New Roman"/>
          <w:bCs/>
          <w:kern w:val="2"/>
          <w:lang w:val="de-AT"/>
        </w:rPr>
        <w:t xml:space="preserve"> eingeräumt und </w:t>
      </w:r>
      <w:r w:rsidRPr="003D2E60">
        <w:rPr>
          <w:rFonts w:cs="Times New Roman"/>
          <w:bCs/>
          <w:kern w:val="2"/>
          <w:lang w:val="de-AT"/>
        </w:rPr>
        <w:t>jährlich</w:t>
      </w:r>
      <w:r>
        <w:rPr>
          <w:rFonts w:cs="Times New Roman"/>
          <w:bCs/>
          <w:kern w:val="2"/>
          <w:lang w:val="de-AT"/>
        </w:rPr>
        <w:t xml:space="preserve"> überprüft</w:t>
      </w:r>
      <w:r w:rsidRPr="003D2E60">
        <w:rPr>
          <w:rFonts w:cs="Times New Roman"/>
          <w:bCs/>
          <w:kern w:val="2"/>
          <w:lang w:val="de-AT"/>
        </w:rPr>
        <w:t>.</w:t>
      </w:r>
    </w:p>
    <w:p w14:paraId="1B208F71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(2) Eine </w:t>
      </w:r>
      <w:r w:rsidRPr="003D2E60">
        <w:rPr>
          <w:rFonts w:cs="Times New Roman"/>
          <w:bCs/>
          <w:kern w:val="2"/>
          <w:lang w:val="de-AT"/>
        </w:rPr>
        <w:t>Zwei-Faktor-Anmeldung</w:t>
      </w:r>
      <w:r>
        <w:rPr>
          <w:rFonts w:cs="Times New Roman"/>
          <w:bCs/>
          <w:kern w:val="2"/>
          <w:lang w:val="de-AT"/>
        </w:rPr>
        <w:t>, die Verwendung</w:t>
      </w:r>
      <w:r w:rsidRPr="003D2E60">
        <w:rPr>
          <w:rFonts w:cs="Times New Roman"/>
          <w:bCs/>
          <w:kern w:val="2"/>
          <w:lang w:val="de-AT"/>
        </w:rPr>
        <w:t xml:space="preserve"> sichere</w:t>
      </w:r>
      <w:r>
        <w:rPr>
          <w:rFonts w:cs="Times New Roman"/>
          <w:bCs/>
          <w:kern w:val="2"/>
          <w:lang w:val="de-AT"/>
        </w:rPr>
        <w:t>r</w:t>
      </w:r>
      <w:r w:rsidRPr="003D2E60">
        <w:rPr>
          <w:rFonts w:cs="Times New Roman"/>
          <w:bCs/>
          <w:kern w:val="2"/>
          <w:lang w:val="de-AT"/>
        </w:rPr>
        <w:t xml:space="preserve"> Passwörter und </w:t>
      </w:r>
      <w:r>
        <w:rPr>
          <w:rFonts w:cs="Times New Roman"/>
          <w:bCs/>
          <w:kern w:val="2"/>
          <w:lang w:val="de-AT"/>
        </w:rPr>
        <w:t xml:space="preserve">die </w:t>
      </w:r>
      <w:r w:rsidRPr="003D2E60">
        <w:rPr>
          <w:rFonts w:cs="Times New Roman"/>
          <w:bCs/>
          <w:kern w:val="2"/>
          <w:lang w:val="de-AT"/>
        </w:rPr>
        <w:t>Nutzung eines Passwort-Managers</w:t>
      </w:r>
      <w:r>
        <w:rPr>
          <w:rFonts w:cs="Times New Roman"/>
          <w:bCs/>
          <w:kern w:val="2"/>
          <w:lang w:val="de-AT"/>
        </w:rPr>
        <w:t xml:space="preserve"> sind Pflicht</w:t>
      </w:r>
      <w:r w:rsidRPr="003D2E60">
        <w:rPr>
          <w:rFonts w:cs="Times New Roman"/>
          <w:bCs/>
          <w:kern w:val="2"/>
          <w:lang w:val="de-AT"/>
        </w:rPr>
        <w:t>.</w:t>
      </w:r>
    </w:p>
    <w:p w14:paraId="4B2B9A2C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(3) </w:t>
      </w:r>
      <w:r w:rsidRPr="003D2E60">
        <w:rPr>
          <w:rFonts w:cs="Times New Roman"/>
          <w:bCs/>
          <w:kern w:val="2"/>
          <w:lang w:val="de-AT"/>
        </w:rPr>
        <w:t xml:space="preserve">Geräte müssen verschlüsselt und gesperrt sein, Protokolle werden </w:t>
      </w:r>
      <w:r>
        <w:rPr>
          <w:rFonts w:cs="Times New Roman"/>
          <w:bCs/>
          <w:kern w:val="2"/>
          <w:lang w:val="de-AT"/>
        </w:rPr>
        <w:t>zwölf</w:t>
      </w:r>
      <w:r w:rsidRPr="003D2E60">
        <w:rPr>
          <w:rFonts w:cs="Times New Roman"/>
          <w:bCs/>
          <w:kern w:val="2"/>
          <w:lang w:val="de-AT"/>
        </w:rPr>
        <w:t xml:space="preserve"> Monate aufbewahrt.</w:t>
      </w:r>
    </w:p>
    <w:p w14:paraId="62C665B2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(4) </w:t>
      </w:r>
      <w:r w:rsidRPr="003D2E60">
        <w:rPr>
          <w:rFonts w:cs="Times New Roman"/>
          <w:bCs/>
          <w:kern w:val="2"/>
          <w:lang w:val="de-AT"/>
        </w:rPr>
        <w:t>Beim Austritt aus dem Verein oder Ausscheiden aus einer Funktion werden Zugriffsrechte sofort entzogen.</w:t>
      </w:r>
    </w:p>
    <w:p w14:paraId="70384417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39990BCF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10 Verträge mit Anbietern und Datenübermittlung ins Ausland</w:t>
      </w:r>
    </w:p>
    <w:p w14:paraId="3F66DBF1" w14:textId="77777777" w:rsidR="000E2D64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(1) </w:t>
      </w:r>
      <w:r w:rsidRPr="003D2E60">
        <w:rPr>
          <w:rFonts w:cs="Times New Roman"/>
          <w:bCs/>
          <w:kern w:val="2"/>
          <w:lang w:val="de-AT"/>
        </w:rPr>
        <w:t>Vor der Nutzung eines externen Anbieters muss ein</w:t>
      </w:r>
      <w:r w:rsidRPr="001F5D20">
        <w:rPr>
          <w:rFonts w:cs="Times New Roman"/>
          <w:kern w:val="2"/>
          <w:lang w:val="de-AT"/>
        </w:rPr>
        <w:t xml:space="preserve"> Auftragsverarbeitungsvertrag </w:t>
      </w:r>
      <w:r w:rsidRPr="003D2E60">
        <w:rPr>
          <w:rFonts w:cs="Times New Roman"/>
          <w:bCs/>
          <w:kern w:val="2"/>
          <w:lang w:val="de-AT"/>
        </w:rPr>
        <w:t>(Art. 28 DSGVO) abgeschlossen werden.</w:t>
      </w:r>
    </w:p>
    <w:p w14:paraId="68107AEC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(2) </w:t>
      </w:r>
      <w:r w:rsidRPr="003D2E60">
        <w:rPr>
          <w:rFonts w:cs="Times New Roman"/>
          <w:bCs/>
          <w:kern w:val="2"/>
          <w:lang w:val="de-AT"/>
        </w:rPr>
        <w:t>Datenübermittlungen in Länder außerhalb der EU/EWR sind nur mit besonderen Schutzmaßnahmen erlaubt (z. B. Standardvertragsklauseln) und müssen vom Vorstand genehmigt werden.</w:t>
      </w:r>
    </w:p>
    <w:p w14:paraId="5B48AFC9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0E8C9C1F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11 Aufbewahrung und Löschung</w:t>
      </w:r>
    </w:p>
    <w:p w14:paraId="434E0C88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(1) </w:t>
      </w:r>
      <w:r w:rsidRPr="003D2E60">
        <w:rPr>
          <w:rFonts w:cs="Times New Roman"/>
          <w:bCs/>
          <w:kern w:val="2"/>
          <w:lang w:val="de-AT"/>
        </w:rPr>
        <w:t xml:space="preserve">Für jede </w:t>
      </w:r>
      <w:proofErr w:type="spellStart"/>
      <w:r w:rsidRPr="003D2E60">
        <w:rPr>
          <w:rFonts w:cs="Times New Roman"/>
          <w:bCs/>
          <w:kern w:val="2"/>
          <w:lang w:val="de-AT"/>
        </w:rPr>
        <w:t>Datenart</w:t>
      </w:r>
      <w:proofErr w:type="spellEnd"/>
      <w:r w:rsidRPr="003D2E60">
        <w:rPr>
          <w:rFonts w:cs="Times New Roman"/>
          <w:bCs/>
          <w:kern w:val="2"/>
          <w:lang w:val="de-AT"/>
        </w:rPr>
        <w:t xml:space="preserve"> gibt es feste Löschfristen, orientiert an gesetzlichen Vorgaben (z. B. Mitglieder-, Kassen- oder Veranstaltungsdaten).</w:t>
      </w:r>
    </w:p>
    <w:p w14:paraId="24438AE2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(2) </w:t>
      </w:r>
      <w:r w:rsidRPr="003D2E60">
        <w:rPr>
          <w:rFonts w:cs="Times New Roman"/>
          <w:bCs/>
          <w:kern w:val="2"/>
          <w:lang w:val="de-AT"/>
        </w:rPr>
        <w:t>Wenn möglich, wird verhindert, dass KI-Anbieter Vereinsdaten zum Training ihrer Systeme verwenden.</w:t>
      </w:r>
    </w:p>
    <w:p w14:paraId="4E33D2E6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(3) </w:t>
      </w:r>
      <w:r w:rsidRPr="003D2E60">
        <w:rPr>
          <w:rFonts w:cs="Times New Roman"/>
          <w:bCs/>
          <w:kern w:val="2"/>
          <w:lang w:val="de-AT"/>
        </w:rPr>
        <w:t>Regelmäßige Backups und Exportmöglichkeiten werden geprüft.</w:t>
      </w:r>
    </w:p>
    <w:p w14:paraId="352E9061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5665B660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12 Umgang mit Vorfällen</w:t>
      </w:r>
    </w:p>
    <w:p w14:paraId="17125240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(1) </w:t>
      </w:r>
      <w:r w:rsidRPr="003D2E60">
        <w:rPr>
          <w:rFonts w:cs="Times New Roman"/>
          <w:bCs/>
          <w:kern w:val="2"/>
          <w:lang w:val="de-AT"/>
        </w:rPr>
        <w:t>Sicherheitsvorfälle oder Datenpannen müssen sofort an den Vorsitz und die Datenschutzbeauftragte gemeldet werden.</w:t>
      </w:r>
    </w:p>
    <w:p w14:paraId="34EA1EC4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(2) </w:t>
      </w:r>
      <w:r w:rsidRPr="003D2E60">
        <w:rPr>
          <w:rFonts w:cs="Times New Roman"/>
          <w:bCs/>
          <w:kern w:val="2"/>
          <w:lang w:val="de-AT"/>
        </w:rPr>
        <w:t>Innerhalb von 72 Stunden erfolgt eine Bewertung, ggf. eine Meldung an die Aufsichtsbehörde und betroffene Personen.</w:t>
      </w:r>
    </w:p>
    <w:p w14:paraId="14AB23EA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>
        <w:rPr>
          <w:rFonts w:cs="Times New Roman"/>
          <w:bCs/>
          <w:kern w:val="2"/>
          <w:lang w:val="de-AT"/>
        </w:rPr>
        <w:t xml:space="preserve">(3) </w:t>
      </w:r>
      <w:r w:rsidRPr="003D2E60">
        <w:rPr>
          <w:rFonts w:cs="Times New Roman"/>
          <w:bCs/>
          <w:kern w:val="2"/>
          <w:lang w:val="de-AT"/>
        </w:rPr>
        <w:t>Der Vorfall wird dokumentiert.</w:t>
      </w:r>
    </w:p>
    <w:p w14:paraId="048D9244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4630EE67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13 Transparenz und Information</w:t>
      </w:r>
    </w:p>
    <w:p w14:paraId="5E36CBFE" w14:textId="77777777" w:rsidR="000E2D64" w:rsidRPr="003D2E60" w:rsidRDefault="000E2D64" w:rsidP="000E2D64">
      <w:pPr>
        <w:tabs>
          <w:tab w:val="num" w:pos="720"/>
        </w:tabs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Im Beitrittsformular und in der Datenschutzerklärung wird kurz erläutert, wie der Verein KI nutzt.</w:t>
      </w:r>
      <w:r>
        <w:rPr>
          <w:rFonts w:cs="Times New Roman"/>
          <w:bCs/>
          <w:kern w:val="2"/>
          <w:lang w:val="de-AT"/>
        </w:rPr>
        <w:t xml:space="preserve"> </w:t>
      </w:r>
      <w:r w:rsidRPr="003D2E60">
        <w:rPr>
          <w:rFonts w:cs="Times New Roman"/>
          <w:bCs/>
          <w:kern w:val="2"/>
          <w:lang w:val="de-AT"/>
        </w:rPr>
        <w:t xml:space="preserve">Der Vorstand berichtet </w:t>
      </w:r>
      <w:r>
        <w:rPr>
          <w:rFonts w:cs="Times New Roman"/>
          <w:bCs/>
          <w:kern w:val="2"/>
          <w:lang w:val="de-AT"/>
        </w:rPr>
        <w:t xml:space="preserve">darüber hinaus </w:t>
      </w:r>
      <w:r w:rsidRPr="003D2E60">
        <w:rPr>
          <w:rFonts w:cs="Times New Roman"/>
          <w:bCs/>
          <w:kern w:val="2"/>
          <w:lang w:val="de-AT"/>
        </w:rPr>
        <w:t>einmal im Jahr der Mitgliederversammlung über eingesetzte Tools, deren Zweck, wichtige Änderungen und eventuelle Vorfälle (ohne persönliche Daten).</w:t>
      </w:r>
    </w:p>
    <w:p w14:paraId="773CC2A9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7104C31B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14 Schulung</w:t>
      </w:r>
    </w:p>
    <w:p w14:paraId="5EBDCA6F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Neue Verantwortliche erhalten eine Einweisung.</w:t>
      </w:r>
      <w:r>
        <w:rPr>
          <w:rFonts w:cs="Times New Roman"/>
          <w:bCs/>
          <w:kern w:val="2"/>
          <w:lang w:val="de-AT"/>
        </w:rPr>
        <w:t xml:space="preserve"> </w:t>
      </w:r>
      <w:r w:rsidRPr="003D2E60">
        <w:rPr>
          <w:rFonts w:cs="Times New Roman"/>
          <w:bCs/>
          <w:kern w:val="2"/>
          <w:lang w:val="de-AT"/>
        </w:rPr>
        <w:t>Alle Nutzer von KI-Tools nehmen einmal im Jahr an einer kurzen Auffrischungsschulung (30–45 Minuten) teil.</w:t>
      </w:r>
    </w:p>
    <w:p w14:paraId="320BE642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</w:p>
    <w:p w14:paraId="0D8D34F7" w14:textId="77777777" w:rsidR="000E2D64" w:rsidRPr="003D2E60" w:rsidRDefault="000E2D64" w:rsidP="000E2D64">
      <w:pPr>
        <w:rPr>
          <w:rFonts w:cs="Times New Roman"/>
          <w:b/>
          <w:bCs/>
          <w:kern w:val="2"/>
          <w:lang w:val="de-AT"/>
        </w:rPr>
      </w:pPr>
      <w:r w:rsidRPr="003D2E60">
        <w:rPr>
          <w:rFonts w:cs="Times New Roman"/>
          <w:b/>
          <w:bCs/>
          <w:kern w:val="2"/>
          <w:lang w:val="de-AT"/>
        </w:rPr>
        <w:t>§ 15 Inkrafttreten und Überprüfung</w:t>
      </w:r>
    </w:p>
    <w:p w14:paraId="7D35AA0A" w14:textId="77777777" w:rsidR="000E2D64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Diese Geschäftsordnung tritt am … in Kraft.</w:t>
      </w:r>
    </w:p>
    <w:p w14:paraId="0EC93853" w14:textId="77777777" w:rsidR="000E2D64" w:rsidRPr="003D2E60" w:rsidRDefault="000E2D64" w:rsidP="000E2D64">
      <w:pPr>
        <w:rPr>
          <w:rFonts w:cs="Times New Roman"/>
          <w:bCs/>
          <w:kern w:val="2"/>
          <w:lang w:val="de-AT"/>
        </w:rPr>
      </w:pPr>
      <w:r w:rsidRPr="003D2E60">
        <w:rPr>
          <w:rFonts w:cs="Times New Roman"/>
          <w:bCs/>
          <w:kern w:val="2"/>
          <w:lang w:val="de-AT"/>
        </w:rPr>
        <w:t>Der Vorstand prüft sie mindestens einmal jährlich oder wenn sich Gesetze oder die genutzten Tools ändern.</w:t>
      </w:r>
    </w:p>
    <w:p w14:paraId="101CD055" w14:textId="77777777" w:rsidR="001343D8" w:rsidRDefault="001343D8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F51966" w14:textId="7777777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B46116D" w14:textId="77777777" w:rsidR="005F4C54" w:rsidRDefault="005F4C54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EE22E9F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0198888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AA0969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374D87F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0A53D0C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FF5DC1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949D9D8" w14:textId="77777777" w:rsidR="00761C6B" w:rsidRDefault="00761C6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7B5BB0B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87F2CD3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4AB005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BEB6B8A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9EDAD6D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63D465B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A1543DF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6D3DAEB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CBF0D1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B4D0BEC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48DEF34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DA52C78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7D7C171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4C7C3F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47021F1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EC66DC0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FED63E1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F8CE6CF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05F0322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ADC05DE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81113B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4883FE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0292747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F3B6E1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295F821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E159CE5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4540CF5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BA4CBF4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77289F0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29F180B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95DB51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AC5E1A1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317ED6" w14:textId="77777777" w:rsidR="00590EF4" w:rsidRDefault="00590EF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31BB50C9" w:rsidR="00035275" w:rsidRPr="00035275" w:rsidRDefault="00035275" w:rsidP="00035275">
      <w:pPr>
        <w:spacing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6A0CF4BF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6B5165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C894" w14:textId="77777777" w:rsidR="00124FFD" w:rsidRDefault="00124FFD" w:rsidP="00B10EDD">
      <w:r>
        <w:separator/>
      </w:r>
    </w:p>
  </w:endnote>
  <w:endnote w:type="continuationSeparator" w:id="0">
    <w:p w14:paraId="647E1A83" w14:textId="77777777" w:rsidR="00124FFD" w:rsidRDefault="00124FFD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76F1" w14:textId="77777777" w:rsidR="00124FFD" w:rsidRDefault="00124FFD" w:rsidP="00B10EDD">
      <w:r>
        <w:separator/>
      </w:r>
    </w:p>
  </w:footnote>
  <w:footnote w:type="continuationSeparator" w:id="0">
    <w:p w14:paraId="710C2F0E" w14:textId="77777777" w:rsidR="00124FFD" w:rsidRDefault="00124FFD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BD03" w14:textId="682E4450" w:rsidR="00590EF4" w:rsidRPr="00015590" w:rsidRDefault="00B10EDD" w:rsidP="00B54600">
    <w:pPr>
      <w:rPr>
        <w:color w:val="FFFFFF" w:themeColor="background1"/>
      </w:rPr>
    </w:pPr>
    <w:r w:rsidRPr="00015590">
      <w:rPr>
        <w:rFonts w:ascii="Helvetica" w:hAnsi="Helvetica" w:cs="Helvetica"/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7CC1649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876925" cy="597535"/>
              <wp:effectExtent l="0" t="0" r="9525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D7FA" id="Rechteck 5" o:spid="_x0000_s1026" style="position:absolute;margin-left:-73.15pt;margin-top:.75pt;width:462.7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" fillcolor="#6d8e43" stroked="f" strokeweight="2pt">
              <w10:wrap anchory="page"/>
              <w10:anchorlock/>
            </v:rect>
          </w:pict>
        </mc:Fallback>
      </mc:AlternateContent>
    </w:r>
    <w:r w:rsidR="0014792F">
      <w:rPr>
        <w:rFonts w:ascii="Helvetica" w:hAnsi="Helvetica" w:cs="Helvetica"/>
        <w:b/>
        <w:bCs/>
        <w:color w:val="FFFFFF" w:themeColor="background1"/>
        <w:sz w:val="28"/>
        <w:szCs w:val="28"/>
      </w:rPr>
      <w:t>Muster</w:t>
    </w:r>
    <w:r w:rsidR="00964FFD" w:rsidRPr="00015590">
      <w:rPr>
        <w:rFonts w:ascii="Helvetica" w:hAnsi="Helvetica" w:cs="Helvetica"/>
        <w:b/>
        <w:bCs/>
        <w:color w:val="FFFFFF" w:themeColor="background1"/>
        <w:sz w:val="28"/>
        <w:szCs w:val="28"/>
      </w:rPr>
      <w:t>:</w:t>
    </w:r>
    <w:r w:rsidR="00015590" w:rsidRPr="00015590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 </w:t>
    </w:r>
    <w:r w:rsidR="00E31DE8" w:rsidRPr="00E31DE8">
      <w:rPr>
        <w:rFonts w:ascii="Helvetica" w:hAnsi="Helvetica" w:cs="Helvetica"/>
        <w:b/>
        <w:bCs/>
        <w:color w:val="FFFFFF" w:themeColor="background1"/>
        <w:sz w:val="28"/>
        <w:szCs w:val="28"/>
      </w:rPr>
      <w:t>KI-</w:t>
    </w:r>
    <w:proofErr w:type="spellStart"/>
    <w:r w:rsidR="00E31DE8" w:rsidRPr="00E31DE8">
      <w:rPr>
        <w:rFonts w:ascii="Helvetica" w:hAnsi="Helvetica" w:cs="Helvetica"/>
        <w:b/>
        <w:bCs/>
        <w:color w:val="FFFFFF" w:themeColor="background1"/>
        <w:sz w:val="28"/>
        <w:szCs w:val="28"/>
      </w:rPr>
      <w:t>Governance</w:t>
    </w:r>
    <w:proofErr w:type="spellEnd"/>
    <w:r w:rsidR="00E31DE8" w:rsidRPr="00E31DE8">
      <w:rPr>
        <w:rFonts w:ascii="Helvetica" w:hAnsi="Helvetica" w:cs="Helvetica"/>
        <w:b/>
        <w:bCs/>
        <w:color w:val="FFFFFF" w:themeColor="background1"/>
        <w:sz w:val="28"/>
        <w:szCs w:val="28"/>
      </w:rPr>
      <w:t>-Ordnung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04"/>
    <w:multiLevelType w:val="hybridMultilevel"/>
    <w:tmpl w:val="1D3261F4"/>
    <w:lvl w:ilvl="0" w:tplc="22DCAF84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D9E"/>
    <w:multiLevelType w:val="hybridMultilevel"/>
    <w:tmpl w:val="C804FC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1022"/>
    <w:multiLevelType w:val="hybridMultilevel"/>
    <w:tmpl w:val="381295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A2759"/>
    <w:multiLevelType w:val="hybridMultilevel"/>
    <w:tmpl w:val="0748D22A"/>
    <w:lvl w:ilvl="0" w:tplc="C400D40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D3"/>
    <w:multiLevelType w:val="multilevel"/>
    <w:tmpl w:val="D77EA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05B80"/>
    <w:multiLevelType w:val="multilevel"/>
    <w:tmpl w:val="2F3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4AD4343"/>
    <w:multiLevelType w:val="multilevel"/>
    <w:tmpl w:val="2F3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7207"/>
    <w:multiLevelType w:val="multilevel"/>
    <w:tmpl w:val="2F3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num w:numId="1" w16cid:durableId="1885603793">
    <w:abstractNumId w:val="7"/>
  </w:num>
  <w:num w:numId="2" w16cid:durableId="1054505390">
    <w:abstractNumId w:val="0"/>
  </w:num>
  <w:num w:numId="3" w16cid:durableId="1952466597">
    <w:abstractNumId w:val="1"/>
  </w:num>
  <w:num w:numId="4" w16cid:durableId="575167053">
    <w:abstractNumId w:val="2"/>
  </w:num>
  <w:num w:numId="5" w16cid:durableId="1620185263">
    <w:abstractNumId w:val="3"/>
  </w:num>
  <w:num w:numId="6" w16cid:durableId="526454540">
    <w:abstractNumId w:val="8"/>
  </w:num>
  <w:num w:numId="7" w16cid:durableId="758335811">
    <w:abstractNumId w:val="4"/>
  </w:num>
  <w:num w:numId="8" w16cid:durableId="863833175">
    <w:abstractNumId w:val="5"/>
  </w:num>
  <w:num w:numId="9" w16cid:durableId="12821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15590"/>
    <w:rsid w:val="000312C8"/>
    <w:rsid w:val="00031C02"/>
    <w:rsid w:val="00035275"/>
    <w:rsid w:val="00050E52"/>
    <w:rsid w:val="000540DD"/>
    <w:rsid w:val="00060210"/>
    <w:rsid w:val="0007118E"/>
    <w:rsid w:val="000725B5"/>
    <w:rsid w:val="00076515"/>
    <w:rsid w:val="00097027"/>
    <w:rsid w:val="000A26CE"/>
    <w:rsid w:val="000C17AF"/>
    <w:rsid w:val="000C63B7"/>
    <w:rsid w:val="000C69C1"/>
    <w:rsid w:val="000E2D64"/>
    <w:rsid w:val="000F69F1"/>
    <w:rsid w:val="00100107"/>
    <w:rsid w:val="001017D1"/>
    <w:rsid w:val="00114D65"/>
    <w:rsid w:val="00122135"/>
    <w:rsid w:val="00122F81"/>
    <w:rsid w:val="00124FFD"/>
    <w:rsid w:val="001343D8"/>
    <w:rsid w:val="0014792F"/>
    <w:rsid w:val="00152811"/>
    <w:rsid w:val="001625AF"/>
    <w:rsid w:val="001936B6"/>
    <w:rsid w:val="001A17E7"/>
    <w:rsid w:val="001F09A1"/>
    <w:rsid w:val="00220CCA"/>
    <w:rsid w:val="002232DD"/>
    <w:rsid w:val="00223641"/>
    <w:rsid w:val="002479BE"/>
    <w:rsid w:val="002554B4"/>
    <w:rsid w:val="00286B3A"/>
    <w:rsid w:val="00292C2C"/>
    <w:rsid w:val="002B54D3"/>
    <w:rsid w:val="00304829"/>
    <w:rsid w:val="00315B75"/>
    <w:rsid w:val="00323A4A"/>
    <w:rsid w:val="003375DB"/>
    <w:rsid w:val="00350848"/>
    <w:rsid w:val="00352870"/>
    <w:rsid w:val="003675D6"/>
    <w:rsid w:val="0037704E"/>
    <w:rsid w:val="003979DB"/>
    <w:rsid w:val="003A521E"/>
    <w:rsid w:val="003C751D"/>
    <w:rsid w:val="003F165F"/>
    <w:rsid w:val="003F5CBC"/>
    <w:rsid w:val="004044AE"/>
    <w:rsid w:val="00411AFA"/>
    <w:rsid w:val="00436BDD"/>
    <w:rsid w:val="004528C0"/>
    <w:rsid w:val="00452B90"/>
    <w:rsid w:val="004B21AE"/>
    <w:rsid w:val="004B381D"/>
    <w:rsid w:val="004D501C"/>
    <w:rsid w:val="004F4C07"/>
    <w:rsid w:val="004F5916"/>
    <w:rsid w:val="00500BB6"/>
    <w:rsid w:val="00503B7B"/>
    <w:rsid w:val="00506C2D"/>
    <w:rsid w:val="00523428"/>
    <w:rsid w:val="00546E64"/>
    <w:rsid w:val="00575AA0"/>
    <w:rsid w:val="00590EF4"/>
    <w:rsid w:val="005C131E"/>
    <w:rsid w:val="005E788F"/>
    <w:rsid w:val="005F4C54"/>
    <w:rsid w:val="0061095D"/>
    <w:rsid w:val="006179D3"/>
    <w:rsid w:val="00647514"/>
    <w:rsid w:val="00656B82"/>
    <w:rsid w:val="006572C8"/>
    <w:rsid w:val="00660297"/>
    <w:rsid w:val="00663E25"/>
    <w:rsid w:val="00670708"/>
    <w:rsid w:val="00695C26"/>
    <w:rsid w:val="006B46A3"/>
    <w:rsid w:val="006B5165"/>
    <w:rsid w:val="006B650B"/>
    <w:rsid w:val="006E6083"/>
    <w:rsid w:val="00700D85"/>
    <w:rsid w:val="00712A2F"/>
    <w:rsid w:val="00714131"/>
    <w:rsid w:val="0073204C"/>
    <w:rsid w:val="00740481"/>
    <w:rsid w:val="007526D5"/>
    <w:rsid w:val="007615C3"/>
    <w:rsid w:val="00761C6B"/>
    <w:rsid w:val="0078618C"/>
    <w:rsid w:val="0079409D"/>
    <w:rsid w:val="00796C01"/>
    <w:rsid w:val="007B64CE"/>
    <w:rsid w:val="00801E60"/>
    <w:rsid w:val="00831F71"/>
    <w:rsid w:val="00835D1A"/>
    <w:rsid w:val="008404D3"/>
    <w:rsid w:val="008747A4"/>
    <w:rsid w:val="00875932"/>
    <w:rsid w:val="00877B11"/>
    <w:rsid w:val="00897987"/>
    <w:rsid w:val="008A25D9"/>
    <w:rsid w:val="008B086A"/>
    <w:rsid w:val="008C4BDE"/>
    <w:rsid w:val="008D2AAC"/>
    <w:rsid w:val="008F7550"/>
    <w:rsid w:val="009035D1"/>
    <w:rsid w:val="0090410B"/>
    <w:rsid w:val="00911A3F"/>
    <w:rsid w:val="00920B66"/>
    <w:rsid w:val="0092319A"/>
    <w:rsid w:val="00925025"/>
    <w:rsid w:val="00926100"/>
    <w:rsid w:val="00931818"/>
    <w:rsid w:val="00934114"/>
    <w:rsid w:val="00952855"/>
    <w:rsid w:val="00964FFD"/>
    <w:rsid w:val="00992A3F"/>
    <w:rsid w:val="00992AC4"/>
    <w:rsid w:val="00993D4D"/>
    <w:rsid w:val="009B3D50"/>
    <w:rsid w:val="009C49FF"/>
    <w:rsid w:val="009D35E6"/>
    <w:rsid w:val="00A11463"/>
    <w:rsid w:val="00A15772"/>
    <w:rsid w:val="00A2094E"/>
    <w:rsid w:val="00A40526"/>
    <w:rsid w:val="00A916DC"/>
    <w:rsid w:val="00A97850"/>
    <w:rsid w:val="00AD6E1F"/>
    <w:rsid w:val="00AE1579"/>
    <w:rsid w:val="00AF2715"/>
    <w:rsid w:val="00B10EDD"/>
    <w:rsid w:val="00B16625"/>
    <w:rsid w:val="00B30D80"/>
    <w:rsid w:val="00B31F7B"/>
    <w:rsid w:val="00B42491"/>
    <w:rsid w:val="00B51AFC"/>
    <w:rsid w:val="00B54600"/>
    <w:rsid w:val="00B654D1"/>
    <w:rsid w:val="00B82527"/>
    <w:rsid w:val="00BB12EC"/>
    <w:rsid w:val="00BB5E96"/>
    <w:rsid w:val="00C462F6"/>
    <w:rsid w:val="00C7364C"/>
    <w:rsid w:val="00C73B42"/>
    <w:rsid w:val="00C768BE"/>
    <w:rsid w:val="00C80482"/>
    <w:rsid w:val="00C8423F"/>
    <w:rsid w:val="00C93538"/>
    <w:rsid w:val="00CA591B"/>
    <w:rsid w:val="00CB038D"/>
    <w:rsid w:val="00CD754E"/>
    <w:rsid w:val="00CE511D"/>
    <w:rsid w:val="00CE5167"/>
    <w:rsid w:val="00D10607"/>
    <w:rsid w:val="00D50888"/>
    <w:rsid w:val="00D76796"/>
    <w:rsid w:val="00D82CB0"/>
    <w:rsid w:val="00D851D7"/>
    <w:rsid w:val="00DA1676"/>
    <w:rsid w:val="00DA530D"/>
    <w:rsid w:val="00DB07A1"/>
    <w:rsid w:val="00DC691A"/>
    <w:rsid w:val="00DC69D4"/>
    <w:rsid w:val="00DD13FD"/>
    <w:rsid w:val="00DD1C53"/>
    <w:rsid w:val="00E12451"/>
    <w:rsid w:val="00E31DE8"/>
    <w:rsid w:val="00E32ED0"/>
    <w:rsid w:val="00E5245E"/>
    <w:rsid w:val="00E66D3A"/>
    <w:rsid w:val="00E8041B"/>
    <w:rsid w:val="00E8336B"/>
    <w:rsid w:val="00E9773F"/>
    <w:rsid w:val="00EA1C2B"/>
    <w:rsid w:val="00EB728A"/>
    <w:rsid w:val="00EC2EB4"/>
    <w:rsid w:val="00ED11D1"/>
    <w:rsid w:val="00ED7776"/>
    <w:rsid w:val="00F147EE"/>
    <w:rsid w:val="00F30E9D"/>
    <w:rsid w:val="00F514BE"/>
    <w:rsid w:val="00F80FE9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8F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D75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22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48</cp:revision>
  <cp:lastPrinted>2020-05-21T14:15:00Z</cp:lastPrinted>
  <dcterms:created xsi:type="dcterms:W3CDTF">2025-06-12T06:03:00Z</dcterms:created>
  <dcterms:modified xsi:type="dcterms:W3CDTF">2025-09-10T10:53:00Z</dcterms:modified>
</cp:coreProperties>
</file>