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26F50131" w14:textId="77777777" w:rsidR="00C2775B" w:rsidRDefault="009510FD" w:rsidP="009510FD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</w:pPr>
          <w:r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Übersicht</w:t>
          </w:r>
          <w:r w:rsidR="00964FFD" w:rsidRPr="008F7F43">
            <w:rPr>
              <w:rStyle w:val="berschrift1Zchn"/>
              <w:rFonts w:ascii="Helvetica" w:hAnsi="Helvetica"/>
              <w:b/>
              <w:bCs/>
              <w:color w:val="6D8E43"/>
              <w:sz w:val="100"/>
              <w:szCs w:val="100"/>
            </w:rPr>
            <w:t>:</w:t>
          </w:r>
        </w:p>
        <w:p w14:paraId="759E559E" w14:textId="39204B49" w:rsidR="00DC69D4" w:rsidRPr="00DC69D4" w:rsidRDefault="00C2775B" w:rsidP="009510FD">
          <w:pPr>
            <w:jc w:val="center"/>
          </w:pPr>
          <w:r w:rsidRPr="00C2775B">
            <w:rPr>
              <w:rFonts w:ascii="Helvetica" w:eastAsiaTheme="majorEastAsia" w:hAnsi="Helvetica" w:cstheme="majorBidi"/>
              <w:b/>
              <w:bCs/>
              <w:color w:val="6D8E43"/>
              <w:sz w:val="100"/>
              <w:szCs w:val="100"/>
            </w:rPr>
            <w:t>5 wichtige Aspekte für Sie und Ihren Verein</w:t>
          </w:r>
          <w:r w:rsidR="00D82CB0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ED1B4CE" wp14:editId="384223F6">
                <wp:simplePos x="0" y="0"/>
                <wp:positionH relativeFrom="margin">
                  <wp:posOffset>1081405</wp:posOffset>
                </wp:positionH>
                <wp:positionV relativeFrom="margin">
                  <wp:posOffset>7205345</wp:posOffset>
                </wp:positionV>
                <wp:extent cx="3594100" cy="977900"/>
                <wp:effectExtent l="0" t="0" r="0" b="0"/>
                <wp:wrapSquare wrapText="bothSides"/>
                <wp:docPr id="3" name="Grafik 3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001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10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82C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252AAC" wp14:editId="7E212147">
                    <wp:simplePos x="0" y="0"/>
                    <wp:positionH relativeFrom="column">
                      <wp:posOffset>-925195</wp:posOffset>
                    </wp:positionH>
                    <wp:positionV relativeFrom="paragraph">
                      <wp:posOffset>8896350</wp:posOffset>
                    </wp:positionV>
                    <wp:extent cx="7611110" cy="727710"/>
                    <wp:effectExtent l="0" t="0" r="0" b="0"/>
                    <wp:wrapNone/>
                    <wp:docPr id="2" name="Shape 62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11110" cy="7277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7904" h="179997">
                                  <a:moveTo>
                                    <a:pt x="0" y="0"/>
                                  </a:moveTo>
                                  <a:lnTo>
                                    <a:pt x="5327904" y="0"/>
                                  </a:lnTo>
                                  <a:lnTo>
                                    <a:pt x="5327904" y="179997"/>
                                  </a:lnTo>
                                  <a:lnTo>
                                    <a:pt x="0" y="1799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894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42848" id="Shape 6251" o:spid="_x0000_s1026" style="position:absolute;margin-left:-72.85pt;margin-top:700.5pt;width:599.3pt;height:5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" path="m,l5327904,r,179997l,179997,,e" fillcolor="#e48949" stroked="f" strokeweight="0">
                    <v:stroke miterlimit="83231f" joinstyle="miter"/>
                    <v:path arrowok="t" textboxrect="0,0,5327904,179997"/>
                  </v:shape>
                </w:pict>
              </mc:Fallback>
            </mc:AlternateContent>
          </w:r>
          <w:r w:rsidR="00831F71">
            <w:br w:type="page"/>
          </w:r>
        </w:p>
      </w:sdtContent>
    </w:sdt>
    <w:p w14:paraId="2FB91B70" w14:textId="7A94ECEA" w:rsidR="004A2E42" w:rsidRDefault="004A2E42" w:rsidP="004A2E42">
      <w:pPr>
        <w:rPr>
          <w:rStyle w:val="berschrift1Zchn"/>
          <w:rFonts w:ascii="Helvetica" w:eastAsia="Times New Roman" w:hAnsi="Helvetica"/>
          <w:b/>
          <w:bCs/>
          <w:color w:val="6D8E43"/>
        </w:rPr>
      </w:pPr>
      <w:r>
        <w:rPr>
          <w:rStyle w:val="berschrift1Zchn"/>
          <w:rFonts w:ascii="Helvetica" w:eastAsia="Times New Roman" w:hAnsi="Helvetica"/>
          <w:b/>
          <w:bCs/>
          <w:color w:val="6D8E43"/>
        </w:rPr>
        <w:lastRenderedPageBreak/>
        <w:t>ÜBERSICHT</w:t>
      </w:r>
      <w:r w:rsidR="00964FFD" w:rsidRPr="00B577AF">
        <w:rPr>
          <w:rStyle w:val="berschrift1Zchn"/>
          <w:rFonts w:ascii="Helvetica" w:eastAsia="Times New Roman" w:hAnsi="Helvetica"/>
          <w:b/>
          <w:bCs/>
          <w:color w:val="6D8E43"/>
        </w:rPr>
        <w:t xml:space="preserve">: </w:t>
      </w:r>
    </w:p>
    <w:p w14:paraId="4F01F4B0" w14:textId="040AE659" w:rsidR="004A2E42" w:rsidRDefault="00C2775B" w:rsidP="00035275">
      <w:pPr>
        <w:jc w:val="both"/>
        <w:rPr>
          <w:rFonts w:ascii="Helvetica" w:eastAsia="Times New Roman" w:hAnsi="Helvetica" w:cstheme="majorBidi"/>
          <w:b/>
          <w:bCs/>
          <w:color w:val="6D8E43"/>
          <w:sz w:val="32"/>
          <w:szCs w:val="32"/>
        </w:rPr>
      </w:pPr>
      <w:r w:rsidRPr="00C2775B">
        <w:rPr>
          <w:rFonts w:ascii="Helvetica" w:eastAsia="Times New Roman" w:hAnsi="Helvetica" w:cstheme="majorBidi"/>
          <w:b/>
          <w:bCs/>
          <w:color w:val="6D8E43"/>
          <w:sz w:val="32"/>
          <w:szCs w:val="32"/>
        </w:rPr>
        <w:t>5 wichtige Aspekte für Sie und Ihren Verein</w:t>
      </w:r>
    </w:p>
    <w:p w14:paraId="1DC83EA0" w14:textId="77777777" w:rsidR="00C2775B" w:rsidRDefault="00C2775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2"/>
      </w:tblGrid>
      <w:tr w:rsidR="007554FF" w:rsidRPr="00E43621" w14:paraId="03638DF5" w14:textId="77777777" w:rsidTr="00C2775B">
        <w:tc>
          <w:tcPr>
            <w:tcW w:w="9054" w:type="dxa"/>
            <w:gridSpan w:val="2"/>
            <w:shd w:val="clear" w:color="auto" w:fill="6D8E43"/>
          </w:tcPr>
          <w:p w14:paraId="0A65EDE1" w14:textId="20ED0F57" w:rsidR="007554FF" w:rsidRDefault="007554FF" w:rsidP="00DB3AF5">
            <w:pPr>
              <w:jc w:val="center"/>
              <w:rPr>
                <w:rFonts w:ascii="Aptos" w:eastAsia="Aptos" w:hAnsi="Aptos" w:cs="Times New Roman"/>
                <w:color w:val="FFFFFF"/>
              </w:rPr>
            </w:pPr>
          </w:p>
        </w:tc>
      </w:tr>
      <w:tr w:rsidR="007554FF" w:rsidRPr="00E43621" w14:paraId="2DE5B9C3" w14:textId="77777777" w:rsidTr="00C2775B">
        <w:trPr>
          <w:trHeight w:val="1136"/>
        </w:trPr>
        <w:tc>
          <w:tcPr>
            <w:tcW w:w="562" w:type="dxa"/>
          </w:tcPr>
          <w:p w14:paraId="607F8308" w14:textId="50C9E000" w:rsidR="007554FF" w:rsidRPr="00B34351" w:rsidRDefault="00C2775B" w:rsidP="00C2775B">
            <w:pPr>
              <w:jc w:val="center"/>
              <w:rPr>
                <w:rFonts w:ascii="Aptos" w:eastAsia="Aptos" w:hAnsi="Aptos" w:cs="Times New Roman"/>
                <w:sz w:val="22"/>
                <w:szCs w:val="22"/>
              </w:rPr>
            </w:pPr>
            <w: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92" w:type="dxa"/>
          </w:tcPr>
          <w:p w14:paraId="16D2BE93" w14:textId="65B2D1A5" w:rsidR="007554FF" w:rsidRPr="00B34351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Null Euro schützt nicht vor Strafe!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Selbst wenn am Ende keine Steuer gezahlt werden muss, bleibt die Pflicht zur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Abgabe von Steuererklärungen bestehen. Wer nicht recht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>-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zeitig liefert, riskiert Verspätungszuschläge. Diese fangen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bei 25 Euro an, können aber auch deutlich höher ausfallen.</w:t>
            </w:r>
          </w:p>
        </w:tc>
      </w:tr>
      <w:tr w:rsidR="007554FF" w:rsidRPr="00E43621" w14:paraId="067B04BC" w14:textId="77777777" w:rsidTr="00C2775B">
        <w:trPr>
          <w:trHeight w:val="1110"/>
        </w:trPr>
        <w:tc>
          <w:tcPr>
            <w:tcW w:w="562" w:type="dxa"/>
          </w:tcPr>
          <w:p w14:paraId="611435B2" w14:textId="08AF3C60" w:rsidR="007554FF" w:rsidRPr="00B34351" w:rsidRDefault="00C2775B" w:rsidP="00C2775B">
            <w:pPr>
              <w:jc w:val="center"/>
              <w:rPr>
                <w:rFonts w:ascii="Aptos" w:eastAsia="Aptos" w:hAnsi="Aptos" w:cs="Times New Roman"/>
                <w:sz w:val="22"/>
                <w:szCs w:val="22"/>
              </w:rPr>
            </w:pPr>
            <w: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2" w:type="dxa"/>
          </w:tcPr>
          <w:p w14:paraId="5F5CCEEB" w14:textId="160FE9D1" w:rsidR="007554FF" w:rsidRPr="00B34351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Haftungsrisiko!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Zur ordnungsgemäßen Geschäftsführung sind Sie als Vorstand verpflichtet. Das umfasst ohne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Wenn und Aber auch die rechtzeitige Abgabe von Steuererklärungen. Kommen Sie dieser Verpflichtung schuldhaft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nicht nach, kann Sie die Mitgliederversammlung für den entstandenen Schaden in Haftung nehmen.</w:t>
            </w:r>
          </w:p>
        </w:tc>
      </w:tr>
      <w:tr w:rsidR="007554FF" w:rsidRPr="00E43621" w14:paraId="282B5F8C" w14:textId="77777777" w:rsidTr="00C2775B">
        <w:tc>
          <w:tcPr>
            <w:tcW w:w="562" w:type="dxa"/>
          </w:tcPr>
          <w:p w14:paraId="38716156" w14:textId="2AAD294C" w:rsidR="007554FF" w:rsidRPr="00B34351" w:rsidRDefault="00C2775B" w:rsidP="00C2775B">
            <w:pPr>
              <w:jc w:val="center"/>
              <w:rPr>
                <w:rFonts w:ascii="Aptos" w:eastAsia="Aptos" w:hAnsi="Aptos" w:cs="Times New Roman"/>
                <w:sz w:val="22"/>
                <w:szCs w:val="22"/>
              </w:rPr>
            </w:pPr>
            <w: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92" w:type="dxa"/>
          </w:tcPr>
          <w:p w14:paraId="1A4A9811" w14:textId="1372CD6A" w:rsid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Gemeinnützigkeit in Gefahr!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Wenn Sie Steuererklärungen wiederholt zu spät oder gar nicht abgeben, kann der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Fiskus einem gemeinnützigen Verein auch die Gemeinnützig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>-</w:t>
            </w:r>
            <w:proofErr w:type="spellStart"/>
            <w:r w:rsidRPr="00C2775B">
              <w:rPr>
                <w:rFonts w:ascii="Aptos" w:eastAsia="Aptos" w:hAnsi="Aptos" w:cs="Times New Roman"/>
                <w:sz w:val="22"/>
                <w:szCs w:val="22"/>
              </w:rPr>
              <w:t>keit</w:t>
            </w:r>
            <w:proofErr w:type="spellEnd"/>
            <w:r w:rsidRPr="00C2775B">
              <w:rPr>
                <w:rFonts w:ascii="Aptos" w:eastAsia="Aptos" w:hAnsi="Aptos" w:cs="Times New Roman"/>
                <w:sz w:val="22"/>
                <w:szCs w:val="22"/>
              </w:rPr>
              <w:t xml:space="preserve"> aberkennen. Das hat der Bundesfinanzhof (BFH)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bereits 1997 entschieden (Az. I R 66/96). Daran hat sich bis heute nichts geändert.</w:t>
            </w:r>
          </w:p>
          <w:p w14:paraId="2F95A409" w14:textId="77777777" w:rsidR="00C2775B" w:rsidRP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  <w:p w14:paraId="66A056CA" w14:textId="7AA3ADA7" w:rsidR="00C2775B" w:rsidRP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Im dem damals verhandelten Fall hatte der BFH entschieden, dass das Finanzamt die Gemeinnützigkeit entziehen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kann, wenn der Vorstand seine steuerlichen Mitwirkungs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>-</w:t>
            </w:r>
            <w:proofErr w:type="spellStart"/>
            <w:r w:rsidRPr="00C2775B">
              <w:rPr>
                <w:rFonts w:ascii="Aptos" w:eastAsia="Aptos" w:hAnsi="Aptos" w:cs="Times New Roman"/>
                <w:sz w:val="22"/>
                <w:szCs w:val="22"/>
              </w:rPr>
              <w:t>pflichten</w:t>
            </w:r>
            <w:proofErr w:type="spellEnd"/>
            <w:r w:rsidRPr="00C2775B">
              <w:rPr>
                <w:rFonts w:ascii="Aptos" w:eastAsia="Aptos" w:hAnsi="Aptos" w:cs="Times New Roman"/>
                <w:sz w:val="22"/>
                <w:szCs w:val="22"/>
              </w:rPr>
              <w:t xml:space="preserve"> verletzt und keine Steuererklärungen abgibt oder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wiederholt Fristen versäumt. Das heißt: Auch dann, wenn Sie zwar Steuererklärungen abgeben, aber immer wieder</w:t>
            </w:r>
          </w:p>
          <w:p w14:paraId="302E7C18" w14:textId="77777777" w:rsid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verspätet, kann das die Gemeinnützigkeit kosten und Sie in die Haftung bringen.</w:t>
            </w:r>
          </w:p>
          <w:p w14:paraId="4FE7CDBA" w14:textId="77777777" w:rsidR="00C2775B" w:rsidRP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  <w:p w14:paraId="70AFED31" w14:textId="6F736B10" w:rsidR="007554FF" w:rsidRPr="00B34351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sz w:val="22"/>
                <w:szCs w:val="22"/>
              </w:rPr>
              <w:t xml:space="preserve">Auch das Finanzgericht Düsseldorf sieht das so (Urteil vom 14.05.2014, Az. 7 K 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>2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994/11): Das Finanzgericht hielt die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Aberkennung der Gemeinnützigkeit wegen fehlender Steuererklärungen für zulässig, weil das Finanzamt ohne die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Erklärungen nicht prüfen könne, ob die tatsächliche Geschäftsführung dem gemeinnützigen Zwecken dient.</w:t>
            </w:r>
          </w:p>
        </w:tc>
      </w:tr>
      <w:tr w:rsidR="007554FF" w:rsidRPr="00E43621" w14:paraId="1B3A0D29" w14:textId="77777777" w:rsidTr="00C2775B">
        <w:tc>
          <w:tcPr>
            <w:tcW w:w="562" w:type="dxa"/>
          </w:tcPr>
          <w:p w14:paraId="22FD4352" w14:textId="7799DC78" w:rsidR="007554FF" w:rsidRPr="00B34351" w:rsidRDefault="00C2775B" w:rsidP="00C2775B">
            <w:pPr>
              <w:jc w:val="center"/>
              <w:rPr>
                <w:rFonts w:ascii="Aptos" w:eastAsia="Aptos" w:hAnsi="Aptos" w:cs="Times New Roman"/>
                <w:sz w:val="22"/>
                <w:szCs w:val="22"/>
              </w:rPr>
            </w:pPr>
            <w: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92" w:type="dxa"/>
          </w:tcPr>
          <w:p w14:paraId="74077F3B" w14:textId="510DCC6C" w:rsid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Umsatzsteuer im Blick behalten!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Ihr Verein ist Kleinunternehmer, wenn er im Vorjahr nicht mehr als 25.000 Euro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steuerpflichtigen Umsatz (inklusive Umsatzsteuer) erzielt hat bzw. im laufenden Jahr nicht mehr als 100.000 Euro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steuerpflichtigen Umsatz (inklusive Umsatzsteuer) erzielt.</w:t>
            </w:r>
          </w:p>
          <w:p w14:paraId="4A3B08E5" w14:textId="77777777" w:rsidR="00C2775B" w:rsidRP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  <w:p w14:paraId="51836F80" w14:textId="762AB8FE" w:rsidR="00C2775B" w:rsidRP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Das heißt: Wenn Sie im Vorjahr die Umsatzgrenze von 25.000 Euro überschritten haben, ist Ihr Verein ab dem Folgejahr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kein Kleinunternehmer mehr. Die Folge: Sie müssen im neuen Jahr zwingend Umsatzsteuer auf Ihre Umsätze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ausweisen und eine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Umsatz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>-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steuer-Voranmeldung abgeben, auch wenn Sie bisher nichts erklärt haben. Die Pflicht</w:t>
            </w:r>
          </w:p>
          <w:p w14:paraId="690C62E0" w14:textId="3A596920" w:rsidR="007554FF" w:rsidRPr="00B34351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besteht automatisch.</w:t>
            </w:r>
          </w:p>
        </w:tc>
      </w:tr>
      <w:tr w:rsidR="007554FF" w:rsidRPr="00E43621" w14:paraId="7050832A" w14:textId="77777777" w:rsidTr="00C2775B">
        <w:tc>
          <w:tcPr>
            <w:tcW w:w="562" w:type="dxa"/>
          </w:tcPr>
          <w:p w14:paraId="1D1792F2" w14:textId="32164CCA" w:rsidR="007554FF" w:rsidRPr="00B34351" w:rsidRDefault="00C2775B" w:rsidP="00C2775B">
            <w:pPr>
              <w:jc w:val="center"/>
              <w:rPr>
                <w:rFonts w:ascii="Aptos" w:eastAsia="Aptos" w:hAnsi="Aptos" w:cs="Times New Roman"/>
                <w:sz w:val="22"/>
                <w:szCs w:val="22"/>
                <w:lang w:val="en-GB"/>
              </w:rPr>
            </w:pPr>
            <w: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92" w:type="dxa"/>
          </w:tcPr>
          <w:p w14:paraId="1C8FB102" w14:textId="6501FA7B" w:rsidR="00C2775B" w:rsidRPr="00C2775B" w:rsidRDefault="00C2775B" w:rsidP="00C2775B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C2775B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Ende der Kleinunternehmerregelung!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Wenn Sie im laufenden Jahr die 100.000-Euro-Grenze überschreiten, endet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die Kleinunternehmerregelung sofort mit dem Umsatz, der die Grenze zu Fall bringt. Sie sind ab diesem Zeitpunkt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 xml:space="preserve"> 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im laufenden Jahr umsatzsteuer</w:t>
            </w:r>
            <w:r>
              <w:rPr>
                <w:rFonts w:ascii="Aptos" w:eastAsia="Aptos" w:hAnsi="Aptos" w:cs="Times New Roman"/>
                <w:sz w:val="22"/>
                <w:szCs w:val="22"/>
              </w:rPr>
              <w:t>-</w:t>
            </w: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pflichtig. Informieren Sie Ihr Finanzamt, sobald Sie die Grenze überschreiten, und</w:t>
            </w:r>
          </w:p>
          <w:p w14:paraId="2C6D1878" w14:textId="1B40AC48" w:rsidR="007554FF" w:rsidRPr="00B34351" w:rsidRDefault="00C2775B" w:rsidP="00C2775B">
            <w:pPr>
              <w:rPr>
                <w:rFonts w:ascii="Aptos" w:eastAsia="Aptos" w:hAnsi="Aptos" w:cs="Times New Roman"/>
                <w:sz w:val="22"/>
                <w:szCs w:val="22"/>
                <w:lang w:val="en-GB"/>
              </w:rPr>
            </w:pPr>
            <w:r w:rsidRPr="00C2775B">
              <w:rPr>
                <w:rFonts w:ascii="Aptos" w:eastAsia="Aptos" w:hAnsi="Aptos" w:cs="Times New Roman"/>
                <w:sz w:val="22"/>
                <w:szCs w:val="22"/>
              </w:rPr>
              <w:t>geben Sie von da an regelmäßige Umsatzsteuererklärungen ab.</w:t>
            </w:r>
          </w:p>
        </w:tc>
      </w:tr>
      <w:tr w:rsidR="007554FF" w:rsidRPr="00E43621" w14:paraId="3CCA415B" w14:textId="77777777" w:rsidTr="00C2775B">
        <w:tc>
          <w:tcPr>
            <w:tcW w:w="9054" w:type="dxa"/>
            <w:gridSpan w:val="2"/>
            <w:shd w:val="clear" w:color="auto" w:fill="E48949"/>
          </w:tcPr>
          <w:p w14:paraId="1EABB84E" w14:textId="77777777" w:rsidR="007554FF" w:rsidRPr="00E43621" w:rsidRDefault="007554FF" w:rsidP="00DB3AF5">
            <w:pPr>
              <w:rPr>
                <w:rFonts w:ascii="Aptos" w:eastAsia="Aptos" w:hAnsi="Aptos" w:cs="Times New Roman"/>
              </w:rPr>
            </w:pPr>
          </w:p>
        </w:tc>
      </w:tr>
    </w:tbl>
    <w:p w14:paraId="0D57A88A" w14:textId="76E963C3" w:rsidR="00575AA0" w:rsidRDefault="00575AA0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2A5216E" w14:textId="440060E3" w:rsidR="00575AA0" w:rsidRDefault="00575AA0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F51966" w14:textId="77777777" w:rsidR="00503B7B" w:rsidRDefault="00503B7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5D84636" w14:textId="77777777" w:rsidR="00503B7B" w:rsidRDefault="00503B7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746288D" w14:textId="6666BF17" w:rsidR="00503B7B" w:rsidRDefault="00503B7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C690140" w14:textId="0E2E0F08" w:rsidR="00590EF4" w:rsidRDefault="00590EF4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2F63CDE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7A4902D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4565881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9AC4D5E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2BF6D47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405D148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5809357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378CE34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6309665" w14:textId="77777777" w:rsidR="00AC4CC7" w:rsidRDefault="00AC4CC7" w:rsidP="00220CCA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E317ED6" w14:textId="77777777" w:rsidR="00590EF4" w:rsidRDefault="00590EF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31BB50C9" w:rsidR="00035275" w:rsidRPr="00035275" w:rsidRDefault="00035275" w:rsidP="00035275">
      <w:pPr>
        <w:spacing w:line="360" w:lineRule="auto"/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2A48E2F9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9E512C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E18D" w14:textId="77777777" w:rsidR="008D4152" w:rsidRDefault="008D4152" w:rsidP="00B10EDD">
      <w:r>
        <w:separator/>
      </w:r>
    </w:p>
  </w:endnote>
  <w:endnote w:type="continuationSeparator" w:id="0">
    <w:p w14:paraId="1C8D6673" w14:textId="77777777" w:rsidR="008D4152" w:rsidRDefault="008D4152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87AB" w14:textId="77777777" w:rsidR="008D4152" w:rsidRDefault="008D4152" w:rsidP="00B10EDD">
      <w:r>
        <w:separator/>
      </w:r>
    </w:p>
  </w:footnote>
  <w:footnote w:type="continuationSeparator" w:id="0">
    <w:p w14:paraId="37B24F11" w14:textId="77777777" w:rsidR="008D4152" w:rsidRDefault="008D4152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BD03" w14:textId="68396A2D" w:rsidR="00590EF4" w:rsidRPr="00015590" w:rsidRDefault="00B10EDD" w:rsidP="00355892">
    <w:pPr>
      <w:rPr>
        <w:color w:val="FFFFFF" w:themeColor="background1"/>
      </w:rPr>
    </w:pPr>
    <w:r w:rsidRPr="00015590">
      <w:rPr>
        <w:rFonts w:ascii="Helvetica" w:hAnsi="Helvetica" w:cs="Helvetica"/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7CC1649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876925" cy="597535"/>
              <wp:effectExtent l="0" t="0" r="9525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6D7FA" id="Rechteck 5" o:spid="_x0000_s1026" style="position:absolute;margin-left:-73.15pt;margin-top:.75pt;width:462.7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" fillcolor="#6d8e43" stroked="f" strokeweight="2pt">
              <w10:wrap anchory="page"/>
              <w10:anchorlock/>
            </v:rect>
          </w:pict>
        </mc:Fallback>
      </mc:AlternateContent>
    </w:r>
    <w:r w:rsidR="00355892" w:rsidRPr="00355892">
      <w:rPr>
        <w:rFonts w:ascii="Helvetica" w:hAnsi="Helvetica" w:cs="Helvetica"/>
        <w:b/>
        <w:bCs/>
        <w:color w:val="FFFFFF" w:themeColor="background1"/>
        <w:sz w:val="28"/>
        <w:szCs w:val="28"/>
      </w:rPr>
      <w:t xml:space="preserve">Übersicht: </w:t>
    </w:r>
    <w:r w:rsidR="00C2775B" w:rsidRPr="00C2775B">
      <w:rPr>
        <w:rFonts w:ascii="Helvetica" w:hAnsi="Helvetica" w:cs="Helvetica"/>
        <w:b/>
        <w:bCs/>
        <w:color w:val="FFFFFF" w:themeColor="background1"/>
        <w:sz w:val="28"/>
        <w:szCs w:val="28"/>
      </w:rPr>
      <w:t>5 wichtige Aspekte für Sie und Ihren Verein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0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15590"/>
    <w:rsid w:val="00024B18"/>
    <w:rsid w:val="00031C02"/>
    <w:rsid w:val="0003321D"/>
    <w:rsid w:val="00035275"/>
    <w:rsid w:val="0004423C"/>
    <w:rsid w:val="000940F0"/>
    <w:rsid w:val="00097027"/>
    <w:rsid w:val="000C63B7"/>
    <w:rsid w:val="00100107"/>
    <w:rsid w:val="001017D1"/>
    <w:rsid w:val="001343D8"/>
    <w:rsid w:val="001644AC"/>
    <w:rsid w:val="0017728F"/>
    <w:rsid w:val="001F44F9"/>
    <w:rsid w:val="00211C7A"/>
    <w:rsid w:val="00220CCA"/>
    <w:rsid w:val="002232DD"/>
    <w:rsid w:val="00223641"/>
    <w:rsid w:val="002A0F4B"/>
    <w:rsid w:val="002F2C41"/>
    <w:rsid w:val="00323106"/>
    <w:rsid w:val="00352870"/>
    <w:rsid w:val="00355892"/>
    <w:rsid w:val="0037704E"/>
    <w:rsid w:val="003979DB"/>
    <w:rsid w:val="003A521E"/>
    <w:rsid w:val="003F5CBC"/>
    <w:rsid w:val="003F6848"/>
    <w:rsid w:val="004044AE"/>
    <w:rsid w:val="00411AFA"/>
    <w:rsid w:val="00436BDD"/>
    <w:rsid w:val="00440E27"/>
    <w:rsid w:val="004528C0"/>
    <w:rsid w:val="0048343C"/>
    <w:rsid w:val="004A2E42"/>
    <w:rsid w:val="004B21AE"/>
    <w:rsid w:val="004B381D"/>
    <w:rsid w:val="004F70EE"/>
    <w:rsid w:val="00503B7B"/>
    <w:rsid w:val="00506C2D"/>
    <w:rsid w:val="005210F4"/>
    <w:rsid w:val="00523428"/>
    <w:rsid w:val="00575AA0"/>
    <w:rsid w:val="00590EF4"/>
    <w:rsid w:val="00595B5F"/>
    <w:rsid w:val="005C131E"/>
    <w:rsid w:val="005C47D2"/>
    <w:rsid w:val="005E788F"/>
    <w:rsid w:val="0061095D"/>
    <w:rsid w:val="00633E4D"/>
    <w:rsid w:val="00643C54"/>
    <w:rsid w:val="00660297"/>
    <w:rsid w:val="00670708"/>
    <w:rsid w:val="00695C26"/>
    <w:rsid w:val="006B46A3"/>
    <w:rsid w:val="006C776F"/>
    <w:rsid w:val="006E66F7"/>
    <w:rsid w:val="006F3820"/>
    <w:rsid w:val="00700D85"/>
    <w:rsid w:val="0073204C"/>
    <w:rsid w:val="007526D5"/>
    <w:rsid w:val="007554FF"/>
    <w:rsid w:val="007615C3"/>
    <w:rsid w:val="00763F0A"/>
    <w:rsid w:val="007667FE"/>
    <w:rsid w:val="007B64CE"/>
    <w:rsid w:val="0080055D"/>
    <w:rsid w:val="00801E60"/>
    <w:rsid w:val="00831F71"/>
    <w:rsid w:val="008404D3"/>
    <w:rsid w:val="00844B39"/>
    <w:rsid w:val="00885F92"/>
    <w:rsid w:val="00886E42"/>
    <w:rsid w:val="008941A1"/>
    <w:rsid w:val="008D4152"/>
    <w:rsid w:val="008F7F43"/>
    <w:rsid w:val="009035D1"/>
    <w:rsid w:val="00911A3F"/>
    <w:rsid w:val="00920B66"/>
    <w:rsid w:val="00926100"/>
    <w:rsid w:val="00931818"/>
    <w:rsid w:val="00934114"/>
    <w:rsid w:val="009510FD"/>
    <w:rsid w:val="00952855"/>
    <w:rsid w:val="00964FFD"/>
    <w:rsid w:val="00992A3F"/>
    <w:rsid w:val="00992AC4"/>
    <w:rsid w:val="009C49FF"/>
    <w:rsid w:val="009D023D"/>
    <w:rsid w:val="009E512C"/>
    <w:rsid w:val="00A25661"/>
    <w:rsid w:val="00A674CC"/>
    <w:rsid w:val="00AC4CC7"/>
    <w:rsid w:val="00AF2715"/>
    <w:rsid w:val="00B01A41"/>
    <w:rsid w:val="00B10EDD"/>
    <w:rsid w:val="00B31F7B"/>
    <w:rsid w:val="00B34351"/>
    <w:rsid w:val="00B51AFC"/>
    <w:rsid w:val="00B63FE5"/>
    <w:rsid w:val="00B654D1"/>
    <w:rsid w:val="00BB12EC"/>
    <w:rsid w:val="00BB5E96"/>
    <w:rsid w:val="00BC6E63"/>
    <w:rsid w:val="00C05DEC"/>
    <w:rsid w:val="00C2775B"/>
    <w:rsid w:val="00C31675"/>
    <w:rsid w:val="00C462F6"/>
    <w:rsid w:val="00C470D5"/>
    <w:rsid w:val="00C80482"/>
    <w:rsid w:val="00CA591B"/>
    <w:rsid w:val="00CA6930"/>
    <w:rsid w:val="00CE511D"/>
    <w:rsid w:val="00D10607"/>
    <w:rsid w:val="00D31FD7"/>
    <w:rsid w:val="00D60E88"/>
    <w:rsid w:val="00D6109B"/>
    <w:rsid w:val="00D76796"/>
    <w:rsid w:val="00D82CB0"/>
    <w:rsid w:val="00D851D7"/>
    <w:rsid w:val="00DA1676"/>
    <w:rsid w:val="00DA530D"/>
    <w:rsid w:val="00DC69D4"/>
    <w:rsid w:val="00DD1C53"/>
    <w:rsid w:val="00DD55AF"/>
    <w:rsid w:val="00E6487D"/>
    <w:rsid w:val="00E9773F"/>
    <w:rsid w:val="00EB728A"/>
    <w:rsid w:val="00ED11D1"/>
    <w:rsid w:val="00F30E9D"/>
    <w:rsid w:val="00F72583"/>
    <w:rsid w:val="00FD3B5F"/>
    <w:rsid w:val="00FD4C27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Daniel Röseler</cp:lastModifiedBy>
  <cp:revision>2</cp:revision>
  <cp:lastPrinted>2020-05-21T14:15:00Z</cp:lastPrinted>
  <dcterms:created xsi:type="dcterms:W3CDTF">2025-08-07T11:13:00Z</dcterms:created>
  <dcterms:modified xsi:type="dcterms:W3CDTF">2025-08-07T11:13:00Z</dcterms:modified>
</cp:coreProperties>
</file>