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59E559E" w14:textId="015E8009" w:rsidR="00DC69D4" w:rsidRPr="00DC69D4" w:rsidRDefault="0054249B" w:rsidP="0072518A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Übersicht</w:t>
          </w:r>
          <w:r w:rsidR="00146477" w:rsidRPr="003D6538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  <w:r w:rsidR="00B3433D" w:rsidRPr="00B3433D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Fördertöpfe</w:t>
          </w:r>
          <w:r w:rsidR="00831F71">
            <w:br w:type="page"/>
          </w:r>
        </w:p>
      </w:sdtContent>
    </w:sdt>
    <w:p w14:paraId="682ECFF3" w14:textId="4055C952" w:rsidR="00BB6C70" w:rsidRDefault="00876865" w:rsidP="00977F4D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</w:p>
    <w:p w14:paraId="39D024F4" w14:textId="70332C50" w:rsidR="009C6C8A" w:rsidRDefault="002274C4" w:rsidP="002274C4">
      <w:pPr>
        <w:jc w:val="both"/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2274C4">
        <w:rPr>
          <w:rFonts w:ascii="Helvetica" w:hAnsi="Helvetica" w:cs="Helvetica"/>
          <w:b/>
          <w:bCs/>
          <w:color w:val="6D8E43"/>
          <w:sz w:val="32"/>
          <w:szCs w:val="32"/>
        </w:rPr>
        <w:t>Die 12 interessantesten Fördertöpfe 2025, aus denen es noch</w:t>
      </w:r>
      <w:r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Pr="002274C4">
        <w:rPr>
          <w:rFonts w:ascii="Helvetica" w:hAnsi="Helvetica" w:cs="Helvetica"/>
          <w:b/>
          <w:bCs/>
          <w:color w:val="6D8E43"/>
          <w:sz w:val="32"/>
          <w:szCs w:val="32"/>
        </w:rPr>
        <w:t>Fördergelder regnet</w:t>
      </w:r>
    </w:p>
    <w:p w14:paraId="5A3A9047" w14:textId="77777777" w:rsidR="002274C4" w:rsidRDefault="002274C4" w:rsidP="002274C4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C5C84A" w14:textId="77777777" w:rsidR="0099684B" w:rsidRPr="0099684B" w:rsidRDefault="0099684B" w:rsidP="008809E8">
      <w:pPr>
        <w:pStyle w:val="Pa32"/>
        <w:ind w:hanging="220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1. Klima- und Energieprogramme </w:t>
      </w:r>
    </w:p>
    <w:p w14:paraId="6CA17581" w14:textId="64AA1F6E" w:rsidR="0099684B" w:rsidRPr="0099684B" w:rsidRDefault="0099684B" w:rsidP="008809E8">
      <w:pPr>
        <w:pStyle w:val="Pa32"/>
        <w:numPr>
          <w:ilvl w:val="0"/>
          <w:numId w:val="18"/>
        </w:numPr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Klimaanpassung in sozialen Einrichtungen </w:t>
      </w:r>
      <w:r w:rsidRPr="0099684B">
        <w:rPr>
          <w:rFonts w:asciiTheme="minorHAnsi" w:hAnsiTheme="minorHAnsi" w:cstheme="minorHAnsi"/>
          <w:color w:val="221E1F"/>
        </w:rPr>
        <w:t xml:space="preserve">(BMUV): Bis 50.000 Euro für Photovoltaik, Wärmepumpen, Dachbegrünung. </w:t>
      </w:r>
    </w:p>
    <w:p w14:paraId="0925BFAA" w14:textId="6D84B618" w:rsidR="0099684B" w:rsidRDefault="0099684B" w:rsidP="008809E8">
      <w:pPr>
        <w:pStyle w:val="Pa32"/>
        <w:numPr>
          <w:ilvl w:val="0"/>
          <w:numId w:val="18"/>
        </w:numPr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Solaroffensive 2025 </w:t>
      </w:r>
      <w:r w:rsidRPr="0099684B">
        <w:rPr>
          <w:rFonts w:asciiTheme="minorHAnsi" w:hAnsiTheme="minorHAnsi" w:cstheme="minorHAnsi"/>
          <w:color w:val="221E1F"/>
        </w:rPr>
        <w:t xml:space="preserve">(NRW): Zuschüsse für PV-Anlagen auf Vereinsheimen. </w:t>
      </w:r>
    </w:p>
    <w:p w14:paraId="1D52418F" w14:textId="77777777" w:rsidR="0099684B" w:rsidRPr="0099684B" w:rsidRDefault="0099684B" w:rsidP="008809E8"/>
    <w:p w14:paraId="0836A285" w14:textId="77777777" w:rsidR="0099684B" w:rsidRPr="0099684B" w:rsidRDefault="0099684B" w:rsidP="008809E8">
      <w:pPr>
        <w:pStyle w:val="Pa11"/>
        <w:spacing w:before="80"/>
        <w:ind w:hanging="220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2. Sport und Infrastruktur </w:t>
      </w:r>
    </w:p>
    <w:p w14:paraId="33057FEA" w14:textId="77A9C192" w:rsidR="0099684B" w:rsidRPr="0099684B" w:rsidRDefault="0099684B" w:rsidP="008809E8">
      <w:pPr>
        <w:pStyle w:val="Pa32"/>
        <w:numPr>
          <w:ilvl w:val="0"/>
          <w:numId w:val="19"/>
        </w:numPr>
        <w:spacing w:before="80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Moderne Sportstätten 2027 </w:t>
      </w:r>
      <w:r w:rsidRPr="0099684B">
        <w:rPr>
          <w:rFonts w:asciiTheme="minorHAnsi" w:hAnsiTheme="minorHAnsi" w:cstheme="minorHAnsi"/>
          <w:color w:val="221E1F"/>
        </w:rPr>
        <w:t xml:space="preserve">(NRW): Gelder für Sanierung und Neubau von Vereinsanlagen. </w:t>
      </w:r>
    </w:p>
    <w:p w14:paraId="7509054D" w14:textId="4673E7D6" w:rsidR="0099684B" w:rsidRPr="0099684B" w:rsidRDefault="0099684B" w:rsidP="008809E8">
      <w:pPr>
        <w:pStyle w:val="Pa32"/>
        <w:numPr>
          <w:ilvl w:val="0"/>
          <w:numId w:val="19"/>
        </w:numPr>
        <w:spacing w:before="80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Zukunft Bau Vereinsförderung </w:t>
      </w:r>
      <w:r w:rsidRPr="0099684B">
        <w:rPr>
          <w:rFonts w:asciiTheme="minorHAnsi" w:hAnsiTheme="minorHAnsi" w:cstheme="minorHAnsi"/>
          <w:color w:val="221E1F"/>
        </w:rPr>
        <w:t xml:space="preserve">(BMI): Zuschüsse für energetische Sanierungen. </w:t>
      </w:r>
    </w:p>
    <w:p w14:paraId="761D5E3E" w14:textId="6791E8DD" w:rsidR="0099684B" w:rsidRDefault="0099684B" w:rsidP="008809E8">
      <w:pPr>
        <w:pStyle w:val="Pa32"/>
        <w:numPr>
          <w:ilvl w:val="0"/>
          <w:numId w:val="19"/>
        </w:numPr>
        <w:spacing w:before="80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Sportstättenbau Programm </w:t>
      </w:r>
      <w:r w:rsidRPr="0099684B">
        <w:rPr>
          <w:rFonts w:asciiTheme="minorHAnsi" w:hAnsiTheme="minorHAnsi" w:cstheme="minorHAnsi"/>
          <w:color w:val="221E1F"/>
        </w:rPr>
        <w:t xml:space="preserve">– Zuschüsse für Neubau und Sanierung. </w:t>
      </w:r>
    </w:p>
    <w:p w14:paraId="694E362E" w14:textId="77777777" w:rsidR="0099684B" w:rsidRPr="0099684B" w:rsidRDefault="0099684B" w:rsidP="008809E8"/>
    <w:p w14:paraId="5FB579B7" w14:textId="77777777" w:rsidR="0099684B" w:rsidRPr="0099684B" w:rsidRDefault="0099684B" w:rsidP="008809E8">
      <w:pPr>
        <w:pStyle w:val="Pa11"/>
        <w:spacing w:before="80"/>
        <w:ind w:hanging="220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3. Kultur und Gemeinschaft </w:t>
      </w:r>
    </w:p>
    <w:p w14:paraId="500B51CC" w14:textId="7881737A" w:rsidR="0099684B" w:rsidRPr="0099684B" w:rsidRDefault="0099684B" w:rsidP="008809E8">
      <w:pPr>
        <w:pStyle w:val="Pa32"/>
        <w:numPr>
          <w:ilvl w:val="0"/>
          <w:numId w:val="20"/>
        </w:numPr>
        <w:spacing w:before="80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Neustart Kultur 3.0 </w:t>
      </w:r>
      <w:r w:rsidRPr="0099684B">
        <w:rPr>
          <w:rFonts w:asciiTheme="minorHAnsi" w:hAnsiTheme="minorHAnsi" w:cstheme="minorHAnsi"/>
          <w:color w:val="221E1F"/>
        </w:rPr>
        <w:t xml:space="preserve">(BKM): Unterstützung für kulturelle Veranstaltungen. </w:t>
      </w:r>
    </w:p>
    <w:p w14:paraId="5D4DE3A9" w14:textId="1937F753" w:rsidR="0099684B" w:rsidRPr="0099684B" w:rsidRDefault="0099684B" w:rsidP="008809E8">
      <w:pPr>
        <w:pStyle w:val="Pa32"/>
        <w:numPr>
          <w:ilvl w:val="0"/>
          <w:numId w:val="20"/>
        </w:numPr>
        <w:spacing w:before="80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>Aktion Mensch</w:t>
      </w:r>
      <w:r w:rsidRPr="0099684B">
        <w:rPr>
          <w:rFonts w:asciiTheme="minorHAnsi" w:hAnsiTheme="minorHAnsi" w:cstheme="minorHAnsi"/>
          <w:color w:val="221E1F"/>
        </w:rPr>
        <w:t>: Bis 5.000 Euro für inklusive Projekte in Sport- und Kultur</w:t>
      </w:r>
      <w:r w:rsidRPr="0099684B">
        <w:rPr>
          <w:rFonts w:asciiTheme="minorHAnsi" w:hAnsiTheme="minorHAnsi" w:cstheme="minorHAnsi"/>
          <w:color w:val="221E1F"/>
        </w:rPr>
        <w:softHyphen/>
        <w:t xml:space="preserve">vereinen. </w:t>
      </w:r>
    </w:p>
    <w:p w14:paraId="1023C175" w14:textId="1317E320" w:rsidR="0099684B" w:rsidRDefault="0099684B" w:rsidP="008809E8">
      <w:pPr>
        <w:pStyle w:val="Pa32"/>
        <w:numPr>
          <w:ilvl w:val="0"/>
          <w:numId w:val="20"/>
        </w:numPr>
        <w:spacing w:before="80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Förderung Jugendarbeit &amp; Chöre/Orchester </w:t>
      </w:r>
      <w:r w:rsidRPr="0099684B">
        <w:rPr>
          <w:rFonts w:asciiTheme="minorHAnsi" w:hAnsiTheme="minorHAnsi" w:cstheme="minorHAnsi"/>
          <w:color w:val="221E1F"/>
        </w:rPr>
        <w:t xml:space="preserve">– Zuwendungen für Kinder-/ Jugendgruppen nach verschiedenen Schwerpunkten (Hessen) </w:t>
      </w:r>
    </w:p>
    <w:p w14:paraId="5B595DBE" w14:textId="77777777" w:rsidR="001024D5" w:rsidRPr="001024D5" w:rsidRDefault="001024D5" w:rsidP="001024D5"/>
    <w:p w14:paraId="09450077" w14:textId="77777777" w:rsidR="001024D5" w:rsidRDefault="0099684B" w:rsidP="001024D5">
      <w:pPr>
        <w:pStyle w:val="Pa11"/>
        <w:spacing w:before="80"/>
        <w:ind w:hanging="220"/>
        <w:jc w:val="both"/>
        <w:rPr>
          <w:rFonts w:asciiTheme="minorHAnsi" w:hAnsiTheme="minorHAnsi" w:cstheme="minorHAnsi"/>
          <w:b/>
          <w:bCs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4. Allgemeine Fördermittel </w:t>
      </w:r>
    </w:p>
    <w:p w14:paraId="31FE6716" w14:textId="77777777" w:rsidR="001024D5" w:rsidRDefault="001024D5" w:rsidP="001024D5">
      <w:pPr>
        <w:pStyle w:val="Pa11"/>
        <w:numPr>
          <w:ilvl w:val="0"/>
          <w:numId w:val="21"/>
        </w:numPr>
        <w:spacing w:before="80"/>
        <w:jc w:val="both"/>
      </w:pPr>
      <w:r w:rsidRPr="001024D5">
        <w:t xml:space="preserve">Rund </w:t>
      </w:r>
      <w:r w:rsidRPr="001024D5">
        <w:rPr>
          <w:b/>
          <w:bCs/>
        </w:rPr>
        <w:t>25.000 Stiftungen</w:t>
      </w:r>
      <w:r w:rsidRPr="001024D5">
        <w:t xml:space="preserve"> fördern Vereine (</w:t>
      </w:r>
      <w:hyperlink r:id="rId10" w:history="1">
        <w:r w:rsidRPr="00AA34D6">
          <w:rPr>
            <w:rStyle w:val="Hyperlink"/>
          </w:rPr>
          <w:t>w</w:t>
        </w:r>
        <w:r w:rsidRPr="00AA34D6">
          <w:rPr>
            <w:rStyle w:val="Hyperlink"/>
          </w:rPr>
          <w:t>w</w:t>
        </w:r>
        <w:r w:rsidRPr="00AA34D6">
          <w:rPr>
            <w:rStyle w:val="Hyperlink"/>
          </w:rPr>
          <w:t>w.stiftungen.org</w:t>
        </w:r>
      </w:hyperlink>
      <w:r w:rsidRPr="001024D5">
        <w:t>).</w:t>
      </w:r>
    </w:p>
    <w:p w14:paraId="7E807B56" w14:textId="77777777" w:rsidR="001024D5" w:rsidRDefault="001024D5" w:rsidP="001024D5">
      <w:pPr>
        <w:pStyle w:val="Pa11"/>
        <w:numPr>
          <w:ilvl w:val="0"/>
          <w:numId w:val="21"/>
        </w:numPr>
        <w:spacing w:before="80"/>
        <w:jc w:val="both"/>
      </w:pPr>
      <w:r>
        <w:t xml:space="preserve">Jährlich werden </w:t>
      </w:r>
      <w:r w:rsidRPr="001024D5">
        <w:rPr>
          <w:b/>
          <w:bCs/>
        </w:rPr>
        <w:t>2,5 Mrd. Euro aus Glücksspieleinnahmen</w:t>
      </w:r>
      <w:r>
        <w:t xml:space="preserve"> in gemeinnützige</w:t>
      </w:r>
      <w:r>
        <w:t xml:space="preserve"> </w:t>
      </w:r>
      <w:r>
        <w:t>Projekte gesteckt.</w:t>
      </w:r>
    </w:p>
    <w:p w14:paraId="4B781183" w14:textId="602836EB" w:rsidR="001024D5" w:rsidRDefault="001024D5" w:rsidP="001024D5">
      <w:pPr>
        <w:pStyle w:val="Pa11"/>
        <w:numPr>
          <w:ilvl w:val="0"/>
          <w:numId w:val="21"/>
        </w:numPr>
        <w:spacing w:before="80"/>
        <w:jc w:val="both"/>
      </w:pPr>
      <w:r w:rsidRPr="001024D5">
        <w:rPr>
          <w:b/>
          <w:bCs/>
        </w:rPr>
        <w:t>Förderdatenbank des Bundes:</w:t>
      </w:r>
      <w:r>
        <w:t xml:space="preserve"> Mehr als 1.600 Programme (</w:t>
      </w:r>
      <w:hyperlink r:id="rId11" w:history="1">
        <w:r w:rsidRPr="00AA34D6">
          <w:rPr>
            <w:rStyle w:val="Hyperlink"/>
          </w:rPr>
          <w:t>www.foer</w:t>
        </w:r>
        <w:r w:rsidRPr="00AA34D6">
          <w:rPr>
            <w:rStyle w:val="Hyperlink"/>
          </w:rPr>
          <w:t>d</w:t>
        </w:r>
        <w:r w:rsidRPr="00AA34D6">
          <w:rPr>
            <w:rStyle w:val="Hyperlink"/>
          </w:rPr>
          <w:t>erdatenbank.de</w:t>
        </w:r>
      </w:hyperlink>
      <w:r>
        <w:t>).</w:t>
      </w:r>
    </w:p>
    <w:p w14:paraId="62503CF2" w14:textId="179C4519" w:rsidR="001024D5" w:rsidRPr="001024D5" w:rsidRDefault="001024D5" w:rsidP="001024D5">
      <w:pPr>
        <w:pStyle w:val="Pa11"/>
        <w:numPr>
          <w:ilvl w:val="0"/>
          <w:numId w:val="21"/>
        </w:numPr>
        <w:spacing w:before="80"/>
        <w:jc w:val="both"/>
      </w:pPr>
      <w:r w:rsidRPr="001024D5">
        <w:rPr>
          <w:b/>
          <w:bCs/>
        </w:rPr>
        <w:t>Sparkasse Bremen</w:t>
      </w:r>
      <w:r>
        <w:t xml:space="preserve"> – regionale Förderprogramme in Kunst, Sport, Bildung</w:t>
      </w:r>
      <w:r>
        <w:t xml:space="preserve"> </w:t>
      </w:r>
      <w:r>
        <w:t>und Umwelt</w:t>
      </w:r>
    </w:p>
    <w:p w14:paraId="5ACA812A" w14:textId="77777777" w:rsidR="001024D5" w:rsidRDefault="001024D5" w:rsidP="0099684B">
      <w:pPr>
        <w:pStyle w:val="Pa32"/>
        <w:spacing w:before="80"/>
        <w:ind w:hanging="220"/>
        <w:jc w:val="both"/>
        <w:rPr>
          <w:rFonts w:asciiTheme="minorHAnsi" w:hAnsiTheme="minorHAnsi" w:cstheme="minorHAnsi"/>
          <w:color w:val="000000"/>
        </w:rPr>
      </w:pPr>
    </w:p>
    <w:p w14:paraId="54180FB9" w14:textId="77777777" w:rsidR="001024D5" w:rsidRDefault="001024D5" w:rsidP="0099684B">
      <w:pPr>
        <w:pStyle w:val="Pa32"/>
        <w:spacing w:before="80"/>
        <w:ind w:hanging="220"/>
        <w:jc w:val="both"/>
        <w:rPr>
          <w:rFonts w:asciiTheme="minorHAnsi" w:hAnsiTheme="minorHAnsi" w:cstheme="minorHAnsi"/>
          <w:color w:val="000000"/>
        </w:rPr>
      </w:pPr>
    </w:p>
    <w:p w14:paraId="0309A198" w14:textId="77777777" w:rsidR="0099684B" w:rsidRPr="0099684B" w:rsidRDefault="0099684B" w:rsidP="0099684B">
      <w:pPr>
        <w:pStyle w:val="Pa11"/>
        <w:spacing w:before="80"/>
        <w:ind w:hanging="220"/>
        <w:jc w:val="both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b/>
          <w:bCs/>
          <w:color w:val="221E1F"/>
        </w:rPr>
        <w:t xml:space="preserve">Wichtig für die Antragstellung </w:t>
      </w:r>
    </w:p>
    <w:p w14:paraId="2388FE11" w14:textId="6931B8FF" w:rsidR="0099684B" w:rsidRPr="0099684B" w:rsidRDefault="0099684B" w:rsidP="001201C7">
      <w:pPr>
        <w:pStyle w:val="Pa32"/>
        <w:numPr>
          <w:ilvl w:val="0"/>
          <w:numId w:val="22"/>
        </w:numPr>
        <w:spacing w:before="80"/>
        <w:jc w:val="both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color w:val="221E1F"/>
        </w:rPr>
        <w:t xml:space="preserve">Lesen Sie die Bedingungen sorgfältig: Was ist dem Förderer wichtig? </w:t>
      </w:r>
    </w:p>
    <w:p w14:paraId="59878E58" w14:textId="41F56647" w:rsidR="0099684B" w:rsidRPr="0099684B" w:rsidRDefault="0099684B" w:rsidP="001201C7">
      <w:pPr>
        <w:pStyle w:val="Pa32"/>
        <w:numPr>
          <w:ilvl w:val="0"/>
          <w:numId w:val="22"/>
        </w:numPr>
        <w:spacing w:before="80"/>
        <w:jc w:val="both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color w:val="221E1F"/>
        </w:rPr>
        <w:t xml:space="preserve">Klären Sie Fristen und Ansprechpartner. </w:t>
      </w:r>
    </w:p>
    <w:p w14:paraId="2F7CF735" w14:textId="77777777" w:rsidR="00A17DBC" w:rsidRDefault="0099684B" w:rsidP="00A17DBC">
      <w:pPr>
        <w:pStyle w:val="Pa32"/>
        <w:numPr>
          <w:ilvl w:val="0"/>
          <w:numId w:val="22"/>
        </w:numPr>
        <w:spacing w:before="80"/>
        <w:jc w:val="both"/>
        <w:rPr>
          <w:rFonts w:asciiTheme="minorHAnsi" w:hAnsiTheme="minorHAnsi" w:cstheme="minorHAnsi"/>
          <w:color w:val="221E1F"/>
        </w:rPr>
      </w:pPr>
      <w:r w:rsidRPr="0099684B">
        <w:rPr>
          <w:rFonts w:asciiTheme="minorHAnsi" w:hAnsiTheme="minorHAnsi" w:cstheme="minorHAnsi"/>
          <w:color w:val="221E1F"/>
        </w:rPr>
        <w:t xml:space="preserve">Prüfen Sie, ob Sie Eigenleistungen erbringen müssen. </w:t>
      </w:r>
    </w:p>
    <w:p w14:paraId="1495E581" w14:textId="2BEFF454" w:rsidR="008C16E9" w:rsidRPr="00A17DBC" w:rsidRDefault="0099684B" w:rsidP="00A17DBC">
      <w:pPr>
        <w:pStyle w:val="Pa32"/>
        <w:numPr>
          <w:ilvl w:val="0"/>
          <w:numId w:val="22"/>
        </w:numPr>
        <w:spacing w:before="80"/>
        <w:jc w:val="both"/>
        <w:rPr>
          <w:rFonts w:asciiTheme="minorHAnsi" w:hAnsiTheme="minorHAnsi" w:cstheme="minorHAnsi"/>
          <w:color w:val="221E1F"/>
        </w:rPr>
      </w:pPr>
      <w:r w:rsidRPr="00A17DBC">
        <w:rPr>
          <w:rFonts w:asciiTheme="minorHAnsi" w:hAnsiTheme="minorHAnsi" w:cstheme="minorHAnsi"/>
          <w:color w:val="221E1F"/>
        </w:rPr>
        <w:t xml:space="preserve">Legen Sie Kostenvoranschläge und ggf. einen Finanzierungsplan bei. </w:t>
      </w: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36EB39" w14:textId="77777777" w:rsidR="000F1CE7" w:rsidRDefault="000F1CE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D93EBA" w14:textId="77777777" w:rsidR="001201C7" w:rsidRDefault="001201C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2534C0" w14:textId="77777777" w:rsidR="001201C7" w:rsidRDefault="001201C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7694FB1" w14:textId="77777777" w:rsidR="001201C7" w:rsidRDefault="001201C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4039905" w14:textId="77777777" w:rsidR="000F1CE7" w:rsidRDefault="000F1CE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0B5A" w14:textId="77777777" w:rsidR="00310D3A" w:rsidRDefault="00310D3A" w:rsidP="00B10EDD">
      <w:r>
        <w:separator/>
      </w:r>
    </w:p>
  </w:endnote>
  <w:endnote w:type="continuationSeparator" w:id="0">
    <w:p w14:paraId="30D98E6A" w14:textId="77777777" w:rsidR="00310D3A" w:rsidRDefault="00310D3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C00D" w14:textId="77777777" w:rsidR="00310D3A" w:rsidRDefault="00310D3A" w:rsidP="00B10EDD">
      <w:r>
        <w:separator/>
      </w:r>
    </w:p>
  </w:footnote>
  <w:footnote w:type="continuationSeparator" w:id="0">
    <w:p w14:paraId="452C4A34" w14:textId="77777777" w:rsidR="00310D3A" w:rsidRDefault="00310D3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A36F27E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876865">
      <w:rPr>
        <w:rFonts w:ascii="Helvetica" w:hAnsi="Helvetica"/>
        <w:b/>
        <w:bCs/>
        <w:color w:val="FFFFFF" w:themeColor="background1"/>
        <w:sz w:val="28"/>
        <w:szCs w:val="28"/>
      </w:rPr>
      <w:t>Übersicht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B3433D" w:rsidRPr="00B3433D">
      <w:rPr>
        <w:rFonts w:ascii="Helvetica" w:hAnsi="Helvetica"/>
        <w:b/>
        <w:bCs/>
        <w:color w:val="FFFFFF" w:themeColor="background1"/>
        <w:sz w:val="28"/>
        <w:szCs w:val="28"/>
      </w:rPr>
      <w:t>Fördertöpfe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5702E1"/>
    <w:multiLevelType w:val="hybridMultilevel"/>
    <w:tmpl w:val="749056DA"/>
    <w:lvl w:ilvl="0" w:tplc="4E744074">
      <w:start w:val="1"/>
      <w:numFmt w:val="bullet"/>
      <w:lvlText w:val=""/>
      <w:lvlJc w:val="left"/>
      <w:pPr>
        <w:ind w:left="551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23278"/>
    <w:multiLevelType w:val="hybridMultilevel"/>
    <w:tmpl w:val="D4E4CC08"/>
    <w:lvl w:ilvl="0" w:tplc="0407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2" w15:restartNumberingAfterBreak="0">
    <w:nsid w:val="4DDA77F6"/>
    <w:multiLevelType w:val="hybridMultilevel"/>
    <w:tmpl w:val="75ACCE7A"/>
    <w:lvl w:ilvl="0" w:tplc="0407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01AC5"/>
    <w:multiLevelType w:val="hybridMultilevel"/>
    <w:tmpl w:val="6DCA5DE2"/>
    <w:lvl w:ilvl="0" w:tplc="0407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6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961B2"/>
    <w:multiLevelType w:val="hybridMultilevel"/>
    <w:tmpl w:val="0DC6C966"/>
    <w:lvl w:ilvl="0" w:tplc="0407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609119548">
    <w:abstractNumId w:val="16"/>
  </w:num>
  <w:num w:numId="2" w16cid:durableId="1522433539">
    <w:abstractNumId w:val="8"/>
  </w:num>
  <w:num w:numId="3" w16cid:durableId="791169153">
    <w:abstractNumId w:val="2"/>
  </w:num>
  <w:num w:numId="4" w16cid:durableId="361789052">
    <w:abstractNumId w:val="9"/>
  </w:num>
  <w:num w:numId="5" w16cid:durableId="939138990">
    <w:abstractNumId w:val="4"/>
  </w:num>
  <w:num w:numId="6" w16cid:durableId="232736033">
    <w:abstractNumId w:val="20"/>
  </w:num>
  <w:num w:numId="7" w16cid:durableId="1324550409">
    <w:abstractNumId w:val="3"/>
  </w:num>
  <w:num w:numId="8" w16cid:durableId="1118722793">
    <w:abstractNumId w:val="5"/>
  </w:num>
  <w:num w:numId="9" w16cid:durableId="1883132299">
    <w:abstractNumId w:val="18"/>
  </w:num>
  <w:num w:numId="10" w16cid:durableId="2055615230">
    <w:abstractNumId w:val="17"/>
  </w:num>
  <w:num w:numId="11" w16cid:durableId="2144736458">
    <w:abstractNumId w:val="14"/>
  </w:num>
  <w:num w:numId="12" w16cid:durableId="1255818545">
    <w:abstractNumId w:val="6"/>
  </w:num>
  <w:num w:numId="13" w16cid:durableId="802501053">
    <w:abstractNumId w:val="19"/>
  </w:num>
  <w:num w:numId="14" w16cid:durableId="1813785500">
    <w:abstractNumId w:val="13"/>
  </w:num>
  <w:num w:numId="15" w16cid:durableId="853108058">
    <w:abstractNumId w:val="10"/>
  </w:num>
  <w:num w:numId="16" w16cid:durableId="121921387">
    <w:abstractNumId w:val="1"/>
  </w:num>
  <w:num w:numId="17" w16cid:durableId="1565486073">
    <w:abstractNumId w:val="0"/>
  </w:num>
  <w:num w:numId="18" w16cid:durableId="1069230635">
    <w:abstractNumId w:val="21"/>
  </w:num>
  <w:num w:numId="19" w16cid:durableId="194393193">
    <w:abstractNumId w:val="12"/>
  </w:num>
  <w:num w:numId="20" w16cid:durableId="377438684">
    <w:abstractNumId w:val="11"/>
  </w:num>
  <w:num w:numId="21" w16cid:durableId="789125113">
    <w:abstractNumId w:val="15"/>
  </w:num>
  <w:num w:numId="22" w16cid:durableId="94130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00931"/>
    <w:rsid w:val="00012C83"/>
    <w:rsid w:val="00035275"/>
    <w:rsid w:val="00057201"/>
    <w:rsid w:val="0007490B"/>
    <w:rsid w:val="000A6587"/>
    <w:rsid w:val="000D4945"/>
    <w:rsid w:val="000F0C0A"/>
    <w:rsid w:val="000F1CE7"/>
    <w:rsid w:val="000F66DF"/>
    <w:rsid w:val="001017D1"/>
    <w:rsid w:val="001024D5"/>
    <w:rsid w:val="00105F8A"/>
    <w:rsid w:val="00117B97"/>
    <w:rsid w:val="00117C29"/>
    <w:rsid w:val="001201C7"/>
    <w:rsid w:val="001222B0"/>
    <w:rsid w:val="00126A91"/>
    <w:rsid w:val="00143AA3"/>
    <w:rsid w:val="00146477"/>
    <w:rsid w:val="00160D94"/>
    <w:rsid w:val="001727A4"/>
    <w:rsid w:val="001730CF"/>
    <w:rsid w:val="0019768D"/>
    <w:rsid w:val="001C3ACC"/>
    <w:rsid w:val="001E3E76"/>
    <w:rsid w:val="0022322A"/>
    <w:rsid w:val="002274C4"/>
    <w:rsid w:val="002314F6"/>
    <w:rsid w:val="00264FED"/>
    <w:rsid w:val="002748A0"/>
    <w:rsid w:val="002864C8"/>
    <w:rsid w:val="00287837"/>
    <w:rsid w:val="002F5941"/>
    <w:rsid w:val="00310D3A"/>
    <w:rsid w:val="00315E41"/>
    <w:rsid w:val="00327BAD"/>
    <w:rsid w:val="00331C91"/>
    <w:rsid w:val="00373F91"/>
    <w:rsid w:val="0037704E"/>
    <w:rsid w:val="00381440"/>
    <w:rsid w:val="003A521E"/>
    <w:rsid w:val="003D6538"/>
    <w:rsid w:val="00411AFA"/>
    <w:rsid w:val="00460EAA"/>
    <w:rsid w:val="00490394"/>
    <w:rsid w:val="00496D78"/>
    <w:rsid w:val="004B21AE"/>
    <w:rsid w:val="004F1E6F"/>
    <w:rsid w:val="004F770A"/>
    <w:rsid w:val="00501D27"/>
    <w:rsid w:val="00510D0A"/>
    <w:rsid w:val="005142AE"/>
    <w:rsid w:val="00523428"/>
    <w:rsid w:val="00525F90"/>
    <w:rsid w:val="00530C1C"/>
    <w:rsid w:val="00531995"/>
    <w:rsid w:val="005420BC"/>
    <w:rsid w:val="0054249B"/>
    <w:rsid w:val="005433C4"/>
    <w:rsid w:val="005547C3"/>
    <w:rsid w:val="005964BF"/>
    <w:rsid w:val="005B62C1"/>
    <w:rsid w:val="00615A5B"/>
    <w:rsid w:val="006354CC"/>
    <w:rsid w:val="006530B4"/>
    <w:rsid w:val="00655597"/>
    <w:rsid w:val="00671D0A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75BB5"/>
    <w:rsid w:val="007A09FC"/>
    <w:rsid w:val="007A1731"/>
    <w:rsid w:val="007B433B"/>
    <w:rsid w:val="007B447A"/>
    <w:rsid w:val="007D7CA6"/>
    <w:rsid w:val="00801E60"/>
    <w:rsid w:val="00825747"/>
    <w:rsid w:val="00831F71"/>
    <w:rsid w:val="008404D3"/>
    <w:rsid w:val="00843659"/>
    <w:rsid w:val="00853C7A"/>
    <w:rsid w:val="00873B5C"/>
    <w:rsid w:val="00876865"/>
    <w:rsid w:val="008809E8"/>
    <w:rsid w:val="008C16E9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7DC2"/>
    <w:rsid w:val="00977F4D"/>
    <w:rsid w:val="0099684B"/>
    <w:rsid w:val="009C21B9"/>
    <w:rsid w:val="009C6C8A"/>
    <w:rsid w:val="009E3344"/>
    <w:rsid w:val="00A05F63"/>
    <w:rsid w:val="00A07730"/>
    <w:rsid w:val="00A15E69"/>
    <w:rsid w:val="00A17DBC"/>
    <w:rsid w:val="00A20C9D"/>
    <w:rsid w:val="00A2651B"/>
    <w:rsid w:val="00A33031"/>
    <w:rsid w:val="00A70EB8"/>
    <w:rsid w:val="00A762CE"/>
    <w:rsid w:val="00A95DDB"/>
    <w:rsid w:val="00AE2DF1"/>
    <w:rsid w:val="00AF22F7"/>
    <w:rsid w:val="00AF2715"/>
    <w:rsid w:val="00AF5EC6"/>
    <w:rsid w:val="00B10012"/>
    <w:rsid w:val="00B10EDD"/>
    <w:rsid w:val="00B148A6"/>
    <w:rsid w:val="00B3433D"/>
    <w:rsid w:val="00B52212"/>
    <w:rsid w:val="00B554C8"/>
    <w:rsid w:val="00B654D1"/>
    <w:rsid w:val="00B7219A"/>
    <w:rsid w:val="00BA2C07"/>
    <w:rsid w:val="00BB5137"/>
    <w:rsid w:val="00BB6946"/>
    <w:rsid w:val="00BB6C70"/>
    <w:rsid w:val="00BB7C74"/>
    <w:rsid w:val="00BD79DE"/>
    <w:rsid w:val="00C04F26"/>
    <w:rsid w:val="00C32749"/>
    <w:rsid w:val="00C50C49"/>
    <w:rsid w:val="00C71A77"/>
    <w:rsid w:val="00C85344"/>
    <w:rsid w:val="00CA591B"/>
    <w:rsid w:val="00CA6111"/>
    <w:rsid w:val="00CE511D"/>
    <w:rsid w:val="00CF6047"/>
    <w:rsid w:val="00D3176D"/>
    <w:rsid w:val="00D42B77"/>
    <w:rsid w:val="00D5016E"/>
    <w:rsid w:val="00D74C30"/>
    <w:rsid w:val="00D76796"/>
    <w:rsid w:val="00D82CB0"/>
    <w:rsid w:val="00D851D7"/>
    <w:rsid w:val="00DB0369"/>
    <w:rsid w:val="00DC69D4"/>
    <w:rsid w:val="00DD7A86"/>
    <w:rsid w:val="00DE237B"/>
    <w:rsid w:val="00DF3D84"/>
    <w:rsid w:val="00E00F15"/>
    <w:rsid w:val="00E04E48"/>
    <w:rsid w:val="00E051BF"/>
    <w:rsid w:val="00E4492B"/>
    <w:rsid w:val="00E60FA9"/>
    <w:rsid w:val="00E75E61"/>
    <w:rsid w:val="00EF50D6"/>
    <w:rsid w:val="00F30E9D"/>
    <w:rsid w:val="00F951C3"/>
    <w:rsid w:val="00FB555D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Pa32">
    <w:name w:val="Pa32"/>
    <w:basedOn w:val="Standard"/>
    <w:next w:val="Standard"/>
    <w:uiPriority w:val="99"/>
    <w:rsid w:val="0099684B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Pa11">
    <w:name w:val="Pa11"/>
    <w:basedOn w:val="Standard"/>
    <w:next w:val="Standard"/>
    <w:uiPriority w:val="99"/>
    <w:rsid w:val="0099684B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4D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024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erderdatenbank.d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stiftunge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18</cp:revision>
  <cp:lastPrinted>2020-05-21T14:15:00Z</cp:lastPrinted>
  <dcterms:created xsi:type="dcterms:W3CDTF">2025-07-28T12:11:00Z</dcterms:created>
  <dcterms:modified xsi:type="dcterms:W3CDTF">2025-07-28T12:26:00Z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