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2E773CC" w14:textId="77777777" w:rsidR="00DE41FC" w:rsidRPr="003C7F2F" w:rsidRDefault="00DE41FC" w:rsidP="00DE41F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</w:pPr>
          <w:r w:rsidRPr="003C7F2F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Übersicht: </w:t>
          </w:r>
        </w:p>
        <w:p w14:paraId="759E559E" w14:textId="5C8A4C7F" w:rsidR="00DC69D4" w:rsidRPr="00DC69D4" w:rsidRDefault="003C7F2F" w:rsidP="00DE41FC">
          <w:pPr>
            <w:jc w:val="center"/>
          </w:pPr>
          <w:r w:rsidRPr="003C7F2F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Satzungsregeln</w:t>
          </w:r>
          <w:r w:rsidR="00831F71">
            <w:br w:type="page"/>
          </w:r>
        </w:p>
      </w:sdtContent>
    </w:sdt>
    <w:p w14:paraId="7C669E13" w14:textId="77777777" w:rsidR="003C7F2F" w:rsidRDefault="007F41FA" w:rsidP="00F9107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ÜBERSICHT: </w:t>
      </w:r>
    </w:p>
    <w:p w14:paraId="3C380DDC" w14:textId="0BBD68B5" w:rsidR="00964469" w:rsidRDefault="003C7F2F" w:rsidP="00F9107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3C7F2F">
        <w:rPr>
          <w:rStyle w:val="berschrift1Zchn"/>
          <w:rFonts w:ascii="Helvetica" w:eastAsia="Times New Roman" w:hAnsi="Helvetica"/>
          <w:b/>
          <w:bCs/>
          <w:color w:val="6D8E43"/>
        </w:rPr>
        <w:t>Wichtige Satzungsregeln, die die Vereinskasse schützen</w:t>
      </w:r>
    </w:p>
    <w:p w14:paraId="000B46F3" w14:textId="77777777" w:rsidR="002917A7" w:rsidRDefault="002917A7" w:rsidP="00F91079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006"/>
      </w:tblGrid>
      <w:tr w:rsidR="00135536" w:rsidRPr="00D81B52" w14:paraId="33362327" w14:textId="77777777" w:rsidTr="00BB3070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27F0727B" w:rsidR="00135536" w:rsidRPr="00D81B52" w:rsidRDefault="00135536" w:rsidP="00ED1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FD9" w:rsidRPr="00D81B52" w14:paraId="65070CF9" w14:textId="77777777" w:rsidTr="005320D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BDB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 der</w:t>
            </w:r>
          </w:p>
          <w:p w14:paraId="69A8A59B" w14:textId="6735BFE6" w:rsidR="00287FD9" w:rsidRPr="00D81B52" w:rsidRDefault="005320D2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Kündigung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7A6" w14:textId="77777777" w:rsidR="005320D2" w:rsidRPr="005320D2" w:rsidRDefault="005320D2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sz w:val="22"/>
                <w:szCs w:val="22"/>
              </w:rPr>
              <w:t>Formvorschriften für Kündigungserklärungen enthält das Bürgerliche Gesetzbuch (BGB) nicht, sodass Sie diese in der Satzung</w:t>
            </w:r>
          </w:p>
          <w:p w14:paraId="4F2D8329" w14:textId="77777777" w:rsidR="005320D2" w:rsidRPr="005320D2" w:rsidRDefault="005320D2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sz w:val="22"/>
                <w:szCs w:val="22"/>
              </w:rPr>
              <w:t>Ihres Vereins frei regeln können. Da mündliche Kündigungen kaum beweisbar sind, sollten Sie auf Text-, besser noch</w:t>
            </w:r>
          </w:p>
          <w:p w14:paraId="4BD3ACCF" w14:textId="13BB2670" w:rsidR="00D52C83" w:rsidRPr="005320D2" w:rsidRDefault="005320D2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sz w:val="22"/>
                <w:szCs w:val="22"/>
              </w:rPr>
              <w:t>auf Schriftform bestehen. Etwa so:</w:t>
            </w:r>
          </w:p>
          <w:p w14:paraId="4552B22A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Die Kündigung muss schriftlich erfolgen.</w:t>
            </w:r>
          </w:p>
          <w:p w14:paraId="1089DCA9" w14:textId="77777777" w:rsidR="005320D2" w:rsidRPr="005320D2" w:rsidRDefault="005320D2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sz w:val="22"/>
                <w:szCs w:val="22"/>
              </w:rPr>
              <w:t>Oder:</w:t>
            </w:r>
          </w:p>
          <w:p w14:paraId="05E6097F" w14:textId="13E30C59" w:rsidR="00287FD9" w:rsidRPr="00D81B52" w:rsidRDefault="005320D2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Die Kündigung bedarf der Schriftform.</w:t>
            </w:r>
          </w:p>
        </w:tc>
      </w:tr>
      <w:tr w:rsidR="005320D2" w:rsidRPr="00D81B52" w14:paraId="177CAE34" w14:textId="77777777" w:rsidTr="005320D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36E" w14:textId="63084ECC" w:rsidR="005320D2" w:rsidRPr="00D81B52" w:rsidRDefault="005320D2" w:rsidP="00287FD9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Fristen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E4A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Eine ordentliche Kündigung muss nicht sofort wirksam werden. Zum Schutz der Vereinskasse können Sie Fristen vorsehen</w:t>
            </w:r>
          </w:p>
          <w:p w14:paraId="4ABE2FB7" w14:textId="49BDDC59" w:rsidR="00E16F7E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– maximal 2 Jahre (§ 39 BGB). Da das sehr lang ist und möglicherweise neue Mitglieder abschreckt, empfehle ich Ihnen eine</w:t>
            </w:r>
            <w:r w:rsidR="00E16F7E" w:rsidRPr="00D81B5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moderate Regelung. Beispiele:</w:t>
            </w:r>
          </w:p>
          <w:p w14:paraId="5692CBBD" w14:textId="2B3BEFD6" w:rsidR="005320D2" w:rsidRPr="00D81B52" w:rsidRDefault="005320D2" w:rsidP="001F0A05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Die Kündigung der Mitgliedschaft ist mit einer Kündigungsfrist von 3 Monaten zum Jahresende möglich.</w:t>
            </w:r>
          </w:p>
          <w:p w14:paraId="589EEB7F" w14:textId="2434D5B4" w:rsidR="005320D2" w:rsidRPr="00D81B52" w:rsidRDefault="005320D2" w:rsidP="001F0A05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Die Mitgliedschaft kann zum Ende eines Kalenderquartals gekündigt werden. Die Kündigungsfrist beträgt 4 Wochen.</w:t>
            </w:r>
          </w:p>
          <w:p w14:paraId="60722EDD" w14:textId="345E4CD7" w:rsidR="005320D2" w:rsidRPr="00D81B52" w:rsidRDefault="005320D2" w:rsidP="005320D2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Der Austritt aus dem Verein ist zum 30. Juni und zum 31. Dezember eines Jahres mit einer Ankündigungsfrist</w:t>
            </w:r>
            <w:r w:rsidR="001F0A05"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 xml:space="preserve"> </w:t>
            </w: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von 6 Wochen zu erklären.</w:t>
            </w:r>
          </w:p>
        </w:tc>
      </w:tr>
      <w:tr w:rsidR="005320D2" w:rsidRPr="00D81B52" w14:paraId="59816688" w14:textId="77777777" w:rsidTr="005320D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5AB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Rückzahlung</w:t>
            </w:r>
          </w:p>
          <w:p w14:paraId="19A7C082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von</w:t>
            </w:r>
          </w:p>
          <w:p w14:paraId="39BDBB04" w14:textId="5390F778" w:rsidR="005320D2" w:rsidRPr="00D81B5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Mitgliedsbeiträgen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879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Ist die Kündigung der Mitgliedschaft auch im laufenden Jahr möglich, hat das Mitglied Anspruch auf anteilige Rückzahlung,</w:t>
            </w:r>
          </w:p>
          <w:p w14:paraId="0F7376CC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sofern es schon den Jahresbeitrag oder einen Beitragsanteil über seine Mitgliedschaftsdauer hinaus gezahlt hat (Kammergericht</w:t>
            </w:r>
          </w:p>
          <w:p w14:paraId="5BA13112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(KG) Berlin, Urteil vom 22.09.2008, Az. U 47/08). Das können Sie durch eine kluge Satzungsregelung verhindern.</w:t>
            </w:r>
          </w:p>
          <w:p w14:paraId="51E46BE2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 xml:space="preserve">Beispiel: </w:t>
            </w: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Endet die Mitgliedschaft vor Ablauf des Kalenderjahres (alternativ: Geschäftsjahres) werden über die Kündigungsfrist</w:t>
            </w:r>
          </w:p>
          <w:p w14:paraId="3EBC5122" w14:textId="430BAFF7" w:rsidR="005320D2" w:rsidRPr="00D81B5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hinaus gezahlte Mitgliedsbeiträge vom Verein nicht erstattet.</w:t>
            </w:r>
          </w:p>
        </w:tc>
      </w:tr>
      <w:tr w:rsidR="005320D2" w:rsidRPr="00D81B52" w14:paraId="2309EBA0" w14:textId="77777777" w:rsidTr="005320D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09F" w14:textId="6BAE418C" w:rsidR="005320D2" w:rsidRPr="00D81B52" w:rsidRDefault="005320D2" w:rsidP="00287FD9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Aufnahmegebühren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0F2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Einen Erstattungsanspruch auf beim Eintritt in den Verein gezahlte Aufnahmegebühren gibt es nur dann, wenn die Satzung dies</w:t>
            </w:r>
          </w:p>
          <w:p w14:paraId="5362F00A" w14:textId="4983091A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ausdrücklich vorsieht. Das ist nicht allen Mitgliedern klar. Sie könnten zur Klarstellung folgende Regelung in die Satzung aufnehmen.</w:t>
            </w:r>
            <w:r w:rsidR="0092206F" w:rsidRPr="00D81B5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Da Aufnahmegebühren per se in der Satzung verankert sein müssen, könnten Sie dies dann „auf einen Rutsch“ erledigen:</w:t>
            </w:r>
          </w:p>
          <w:p w14:paraId="159F934A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Bei der Aufnahme in den Verein ist eine Aufnahmegebühr zu zahlen. Höhe und Fälligkeit der Aufnahmegebühr wird von der</w:t>
            </w:r>
          </w:p>
          <w:p w14:paraId="28501387" w14:textId="25E247B0" w:rsidR="005320D2" w:rsidRPr="00D81B5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Mitgliederversammlung beschlossen. Eine Rückzahlung der Aufnahmegebühr bei Beendigung der Mitgliedschaft erfolgt nicht.</w:t>
            </w:r>
          </w:p>
        </w:tc>
      </w:tr>
      <w:tr w:rsidR="005320D2" w:rsidRPr="00D81B52" w14:paraId="42E38B81" w14:textId="77777777" w:rsidTr="005320D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0BA1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Arbeitsleistungen,</w:t>
            </w:r>
          </w:p>
          <w:p w14:paraId="379E8290" w14:textId="297ED537" w:rsidR="005320D2" w:rsidRPr="00D81B5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Abgeltung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047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Arbeitsleistungen, zu denen Mitglieder verpflichtet sind, können Zahlungspflichten werden, wenn die Arbeitsleistung nicht erfüllt</w:t>
            </w:r>
          </w:p>
          <w:p w14:paraId="2ED00542" w14:textId="6D15D4D3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wird und sich entsprechende Regelungen in Satzung und Beitragsordnung finden. Scheidet ein Mitglied aus, muss es bis zum</w:t>
            </w:r>
            <w:r w:rsidR="004D1EA0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Zeitpunkt des Ausscheidens die Arbeitsstunden oder die entsprechenden </w:t>
            </w: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lastRenderedPageBreak/>
              <w:t>Entschädigungszahlungen leisten. Da dies nicht allen</w:t>
            </w:r>
            <w:r w:rsidR="005031CC" w:rsidRPr="00D81B5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Mitgliedern immer klar ist, empfiehlt sich auch hier eine Klarstellung in der Satzung. Etwa so:</w:t>
            </w:r>
          </w:p>
          <w:p w14:paraId="7D667BB5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(1) Jedes Mitglied leistet jährlich 10 Arbeitsstunden (= Zeitstunden). Ausgenommen hiervon sind Mitglieder unter 14 Jahren</w:t>
            </w:r>
          </w:p>
          <w:p w14:paraId="5FA4BA93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und über 65 Jahren. Die Ableistung der Arbeitsstunden muss durch einen vom jeweiligen Abteilungsleiter abgezeichneten</w:t>
            </w:r>
          </w:p>
          <w:p w14:paraId="4D9681ED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Arbeitszettel nachgewiesen werden.</w:t>
            </w:r>
          </w:p>
          <w:p w14:paraId="220349D9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(2) Der Arbeitszettel ist dem Vorstand bis zum 31. Januar des Folgejahres vorzulegen. Nicht nachgewiesene Arbeitsstunden</w:t>
            </w:r>
          </w:p>
          <w:p w14:paraId="7334E11F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werden mit 17,50 Euro pro Arbeitsstunde berechnet.</w:t>
            </w:r>
          </w:p>
          <w:p w14:paraId="4EAD538D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(3) Der Vorstand kann einem Mitglied auf Antrag Befreiung von der Arbeitsleistung bzw. Zahlungspflicht erteilen.</w:t>
            </w:r>
          </w:p>
          <w:p w14:paraId="6A6B3AA3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Der Vorstand entscheidet nach billigem Ermessen.</w:t>
            </w:r>
          </w:p>
          <w:p w14:paraId="2EB56711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(4) Endet die Mitgliedschaft, werden alle bis zum deren Ende noch offenen Arbeitsstunden in eine Geldforderung des Vereins</w:t>
            </w:r>
          </w:p>
          <w:p w14:paraId="5703ABD2" w14:textId="003FC794" w:rsidR="005320D2" w:rsidRPr="00D81B5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gegen das Mitglied umgewandelt und werden sofort fällig.</w:t>
            </w:r>
          </w:p>
        </w:tc>
      </w:tr>
      <w:tr w:rsidR="005320D2" w:rsidRPr="00D81B52" w14:paraId="43F49C97" w14:textId="77777777" w:rsidTr="005320D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857" w14:textId="3D3F941D" w:rsidR="005320D2" w:rsidRPr="00D81B52" w:rsidRDefault="005320D2" w:rsidP="00287FD9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lastRenderedPageBreak/>
              <w:t>Mahngebühren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F7C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Wenn die Satzung dies zulässt, können Sie von säumigen Mitgliedern – ebenso wie von säumigen Ex-Mitgliedern – für deren</w:t>
            </w:r>
          </w:p>
          <w:p w14:paraId="2DDCCC15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noch offene Beiträge Mahngebühren verlangen. Gesetzliche Vorgaben zur Höhe der Mahngebühr gibt es nicht, manche Gerichte</w:t>
            </w:r>
          </w:p>
          <w:p w14:paraId="0A8E18C6" w14:textId="77777777" w:rsidR="005320D2" w:rsidRPr="005320D2" w:rsidRDefault="005320D2" w:rsidP="005320D2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gehen von maximal 5 Euro aus (pro Mahnung).</w:t>
            </w:r>
          </w:p>
          <w:p w14:paraId="085920ED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Formulierungsbeispiele:</w:t>
            </w:r>
          </w:p>
          <w:p w14:paraId="5E50D207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In der Satzung:</w:t>
            </w:r>
          </w:p>
          <w:p w14:paraId="5D963DA5" w14:textId="77777777" w:rsidR="005320D2" w:rsidRPr="005320D2" w:rsidRDefault="005320D2" w:rsidP="005320D2">
            <w:p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Von säumigen Mitgliedern können Mahngebühren verlangt werden. Näheres regelt die Beitragsordnung.</w:t>
            </w:r>
          </w:p>
          <w:p w14:paraId="67C7BA61" w14:textId="77777777" w:rsidR="005320D2" w:rsidRPr="005320D2" w:rsidRDefault="005320D2" w:rsidP="005320D2">
            <w:pPr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</w:pPr>
            <w:r w:rsidRPr="005320D2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In der Beitragsordnung:</w:t>
            </w:r>
          </w:p>
          <w:p w14:paraId="74461A77" w14:textId="52D33D32" w:rsidR="005320D2" w:rsidRPr="00D81B52" w:rsidRDefault="005320D2" w:rsidP="00B938B9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Ab der 2. Mahnung beträgt die Mahngebühr … Euro je Mahnung.</w:t>
            </w:r>
          </w:p>
          <w:p w14:paraId="40723167" w14:textId="4EE02AC7" w:rsidR="005320D2" w:rsidRPr="00D81B52" w:rsidRDefault="005320D2" w:rsidP="00B938B9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Die Mahngebühr beträgt … Euro je Mahnung.</w:t>
            </w:r>
          </w:p>
          <w:p w14:paraId="2041DA0B" w14:textId="57CE458D" w:rsidR="005320D2" w:rsidRPr="00D81B52" w:rsidRDefault="005320D2" w:rsidP="005320D2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Für die erste Mahnung werden die Portokosten als Mahngebühr berechnet. Für jede weitere Mahnung werden zusätzlich …</w:t>
            </w:r>
            <w:r w:rsidR="00B938B9"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 xml:space="preserve"> </w:t>
            </w: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Euro als Mahngebühr berechnet.</w:t>
            </w:r>
          </w:p>
          <w:p w14:paraId="2C53430A" w14:textId="723B6FD2" w:rsidR="005320D2" w:rsidRPr="00D81B52" w:rsidRDefault="005320D2" w:rsidP="005320D2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Für die erste Mahnung beträgt die Mahngebühr … Euro. Bei weiter andauerndem Zahlungsverzug wird das Beitragsinkasso</w:t>
            </w:r>
            <w:r w:rsidR="00BF14AC"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 xml:space="preserve"> </w:t>
            </w: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einem Inkassounternehmen übergeben.</w:t>
            </w:r>
          </w:p>
          <w:p w14:paraId="15AA5E69" w14:textId="1C2A1CE3" w:rsidR="005320D2" w:rsidRPr="00D81B52" w:rsidRDefault="005320D2" w:rsidP="00BF14AC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i/>
                <w:iCs/>
                <w:color w:val="211D1E"/>
                <w:sz w:val="22"/>
                <w:szCs w:val="22"/>
              </w:rPr>
              <w:t>Bei einem Rückstand der Beiträge für mehr als … Monate werden Mahngebühren in Höhe von … Euro je Mahnung erhoben.</w:t>
            </w:r>
          </w:p>
        </w:tc>
      </w:tr>
      <w:tr w:rsidR="00135536" w:rsidRPr="00D81B52" w14:paraId="7CF3232A" w14:textId="77777777" w:rsidTr="00C36629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5657D1BD" w:rsidR="00135536" w:rsidRPr="00D81B52" w:rsidRDefault="00135536" w:rsidP="00352870">
            <w:pPr>
              <w:tabs>
                <w:tab w:val="left" w:pos="60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34CC84" w14:textId="77777777" w:rsidR="002120FB" w:rsidRDefault="002120FB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82D26E1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22118A8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B91E03D" w14:textId="77777777" w:rsidR="00C9498C" w:rsidRDefault="00C9498C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9292B67" w14:textId="77777777" w:rsidR="00C9498C" w:rsidRDefault="00C9498C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50F6E23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11C3DF4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6697367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C04D889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EDF8541" w14:textId="77777777" w:rsidR="00E8134A" w:rsidRDefault="00E8134A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6616C4FF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32B67081" w14:textId="77777777" w:rsidR="00C9498C" w:rsidRDefault="00C9498C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FA23D3E" w14:textId="28761A06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E9DC2B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031C02">
        <w:rPr>
          <w:rFonts w:ascii="Helvetica" w:hAnsi="Helvetica" w:cs="Helvetica"/>
        </w:rPr>
        <w:t>4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terstate Light">
    <w:altName w:val="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31CD" w14:textId="2F818E73" w:rsidR="00015590" w:rsidRPr="007F41FA" w:rsidRDefault="00B10EDD" w:rsidP="007F41FA">
    <w:pPr>
      <w:rPr>
        <w:rStyle w:val="berschrift1Zchn"/>
        <w:rFonts w:ascii="Helvetica" w:eastAsiaTheme="minorHAnsi" w:hAnsi="Helvetica" w:cs="Helvetica"/>
        <w:b/>
        <w:bCs/>
        <w:color w:val="FFFFFF" w:themeColor="background1"/>
        <w:sz w:val="28"/>
        <w:szCs w:val="28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35536" w:rsidRPr="00135536">
      <w:t xml:space="preserve"> </w:t>
    </w:r>
    <w:r w:rsidR="007F41FA" w:rsidRPr="007F41FA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Übersicht: </w:t>
    </w:r>
    <w:r w:rsidR="003C7F2F" w:rsidRPr="003C7F2F">
      <w:rPr>
        <w:rFonts w:ascii="Helvetica" w:hAnsi="Helvetica" w:cs="Helvetica"/>
        <w:b/>
        <w:bCs/>
        <w:color w:val="FFFFFF" w:themeColor="background1"/>
        <w:sz w:val="28"/>
        <w:szCs w:val="28"/>
      </w:rPr>
      <w:t>Satzungsregeln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1D2E"/>
    <w:multiLevelType w:val="hybridMultilevel"/>
    <w:tmpl w:val="49245F70"/>
    <w:lvl w:ilvl="0" w:tplc="DBA6215E">
      <w:start w:val="1"/>
      <w:numFmt w:val="bullet"/>
      <w:lvlText w:val=""/>
      <w:lvlJc w:val="left"/>
      <w:pPr>
        <w:ind w:left="51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9B6B10"/>
    <w:multiLevelType w:val="hybridMultilevel"/>
    <w:tmpl w:val="94E0FBF4"/>
    <w:lvl w:ilvl="0" w:tplc="DBA6215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02CFD"/>
    <w:multiLevelType w:val="hybridMultilevel"/>
    <w:tmpl w:val="0916D410"/>
    <w:lvl w:ilvl="0" w:tplc="DBA6215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2"/>
  </w:num>
  <w:num w:numId="2" w16cid:durableId="1193348746">
    <w:abstractNumId w:val="3"/>
  </w:num>
  <w:num w:numId="3" w16cid:durableId="524711109">
    <w:abstractNumId w:val="0"/>
  </w:num>
  <w:num w:numId="4" w16cid:durableId="166804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604F9"/>
    <w:rsid w:val="00067B48"/>
    <w:rsid w:val="000762D5"/>
    <w:rsid w:val="00094209"/>
    <w:rsid w:val="00097027"/>
    <w:rsid w:val="000C4DCE"/>
    <w:rsid w:val="000C63B7"/>
    <w:rsid w:val="000D2563"/>
    <w:rsid w:val="001017D1"/>
    <w:rsid w:val="001343D8"/>
    <w:rsid w:val="00135300"/>
    <w:rsid w:val="00135536"/>
    <w:rsid w:val="001455AF"/>
    <w:rsid w:val="001D16E3"/>
    <w:rsid w:val="001F0A05"/>
    <w:rsid w:val="001F6DFC"/>
    <w:rsid w:val="00200908"/>
    <w:rsid w:val="002120FB"/>
    <w:rsid w:val="00220CCA"/>
    <w:rsid w:val="002232DD"/>
    <w:rsid w:val="00223641"/>
    <w:rsid w:val="00287FD9"/>
    <w:rsid w:val="002917A7"/>
    <w:rsid w:val="00352870"/>
    <w:rsid w:val="0037704E"/>
    <w:rsid w:val="003979DB"/>
    <w:rsid w:val="003A4B83"/>
    <w:rsid w:val="003A521E"/>
    <w:rsid w:val="003C3229"/>
    <w:rsid w:val="003C7F2F"/>
    <w:rsid w:val="003F2E53"/>
    <w:rsid w:val="00406B74"/>
    <w:rsid w:val="00411AFA"/>
    <w:rsid w:val="00414E1E"/>
    <w:rsid w:val="00436BDD"/>
    <w:rsid w:val="004528C0"/>
    <w:rsid w:val="00461583"/>
    <w:rsid w:val="004A1653"/>
    <w:rsid w:val="004B21AE"/>
    <w:rsid w:val="004B381D"/>
    <w:rsid w:val="004C7B2A"/>
    <w:rsid w:val="004D1EA0"/>
    <w:rsid w:val="005031CC"/>
    <w:rsid w:val="00506C2D"/>
    <w:rsid w:val="005166D8"/>
    <w:rsid w:val="00516E00"/>
    <w:rsid w:val="00523428"/>
    <w:rsid w:val="005320D2"/>
    <w:rsid w:val="005611EF"/>
    <w:rsid w:val="00562091"/>
    <w:rsid w:val="00575AA0"/>
    <w:rsid w:val="00577DE7"/>
    <w:rsid w:val="00590EF4"/>
    <w:rsid w:val="005C131E"/>
    <w:rsid w:val="00602320"/>
    <w:rsid w:val="0061095D"/>
    <w:rsid w:val="00660297"/>
    <w:rsid w:val="00670708"/>
    <w:rsid w:val="00671A24"/>
    <w:rsid w:val="00695C26"/>
    <w:rsid w:val="006B46A3"/>
    <w:rsid w:val="00700D85"/>
    <w:rsid w:val="00722F7C"/>
    <w:rsid w:val="0073204C"/>
    <w:rsid w:val="00741ACC"/>
    <w:rsid w:val="00743D45"/>
    <w:rsid w:val="007526D5"/>
    <w:rsid w:val="007615C3"/>
    <w:rsid w:val="00786F67"/>
    <w:rsid w:val="007B2829"/>
    <w:rsid w:val="007B64CE"/>
    <w:rsid w:val="007F41FA"/>
    <w:rsid w:val="00801E60"/>
    <w:rsid w:val="008211DA"/>
    <w:rsid w:val="0082172C"/>
    <w:rsid w:val="00822138"/>
    <w:rsid w:val="00831F71"/>
    <w:rsid w:val="00837E73"/>
    <w:rsid w:val="008404D3"/>
    <w:rsid w:val="008451E1"/>
    <w:rsid w:val="008A3F5D"/>
    <w:rsid w:val="008B7AAF"/>
    <w:rsid w:val="008F694E"/>
    <w:rsid w:val="009035D1"/>
    <w:rsid w:val="00911A3F"/>
    <w:rsid w:val="0092206F"/>
    <w:rsid w:val="00926100"/>
    <w:rsid w:val="00931818"/>
    <w:rsid w:val="00934114"/>
    <w:rsid w:val="00961726"/>
    <w:rsid w:val="00964469"/>
    <w:rsid w:val="00964FFD"/>
    <w:rsid w:val="00992AC4"/>
    <w:rsid w:val="009C49FF"/>
    <w:rsid w:val="00A461EF"/>
    <w:rsid w:val="00A62B2D"/>
    <w:rsid w:val="00AB00B0"/>
    <w:rsid w:val="00AD281D"/>
    <w:rsid w:val="00AD767A"/>
    <w:rsid w:val="00AE1E24"/>
    <w:rsid w:val="00AF2715"/>
    <w:rsid w:val="00B07D22"/>
    <w:rsid w:val="00B10EDD"/>
    <w:rsid w:val="00B31F7B"/>
    <w:rsid w:val="00B51AFC"/>
    <w:rsid w:val="00B654D1"/>
    <w:rsid w:val="00B67DF8"/>
    <w:rsid w:val="00B938B9"/>
    <w:rsid w:val="00BA29DA"/>
    <w:rsid w:val="00BB5E96"/>
    <w:rsid w:val="00BF14AC"/>
    <w:rsid w:val="00C0158C"/>
    <w:rsid w:val="00C462F6"/>
    <w:rsid w:val="00C74DEC"/>
    <w:rsid w:val="00C80482"/>
    <w:rsid w:val="00C9498C"/>
    <w:rsid w:val="00CA591B"/>
    <w:rsid w:val="00CD1F61"/>
    <w:rsid w:val="00CE511D"/>
    <w:rsid w:val="00CF2899"/>
    <w:rsid w:val="00D10607"/>
    <w:rsid w:val="00D5079C"/>
    <w:rsid w:val="00D52C83"/>
    <w:rsid w:val="00D74040"/>
    <w:rsid w:val="00D76796"/>
    <w:rsid w:val="00D81B52"/>
    <w:rsid w:val="00D82CB0"/>
    <w:rsid w:val="00D851D7"/>
    <w:rsid w:val="00DA530D"/>
    <w:rsid w:val="00DC69D4"/>
    <w:rsid w:val="00DE41FC"/>
    <w:rsid w:val="00E16F7E"/>
    <w:rsid w:val="00E245E3"/>
    <w:rsid w:val="00E37655"/>
    <w:rsid w:val="00E4729A"/>
    <w:rsid w:val="00E508C5"/>
    <w:rsid w:val="00E57CB9"/>
    <w:rsid w:val="00E8134A"/>
    <w:rsid w:val="00EB728A"/>
    <w:rsid w:val="00ED11D1"/>
    <w:rsid w:val="00F13DFA"/>
    <w:rsid w:val="00F30E9D"/>
    <w:rsid w:val="00F91079"/>
    <w:rsid w:val="00FA56A6"/>
    <w:rsid w:val="00FB47C8"/>
    <w:rsid w:val="00FE1AE6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Pa23">
    <w:name w:val="Pa23"/>
    <w:basedOn w:val="Standard"/>
    <w:next w:val="Standard"/>
    <w:uiPriority w:val="99"/>
    <w:rsid w:val="00135536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7B2829"/>
    <w:pPr>
      <w:autoSpaceDE w:val="0"/>
      <w:autoSpaceDN w:val="0"/>
      <w:adjustRightInd w:val="0"/>
      <w:spacing w:line="181" w:lineRule="atLeast"/>
    </w:pPr>
    <w:rPr>
      <w:rFonts w:ascii="Interstate Light" w:hAnsi="Interstate Light"/>
    </w:rPr>
  </w:style>
  <w:style w:type="paragraph" w:customStyle="1" w:styleId="Pa19">
    <w:name w:val="Pa19"/>
    <w:basedOn w:val="Standard"/>
    <w:next w:val="Standard"/>
    <w:uiPriority w:val="99"/>
    <w:rsid w:val="0096446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ED6EA-F7FE-4B6C-8A1C-6FF73EEFC445}"/>
</file>

<file path=customXml/itemProps2.xml><?xml version="1.0" encoding="utf-8"?>
<ds:datastoreItem xmlns:ds="http://schemas.openxmlformats.org/officeDocument/2006/customXml" ds:itemID="{B5B41EED-EF0A-4939-8506-0D6E90316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PiF - Pia Franke</cp:lastModifiedBy>
  <cp:revision>2</cp:revision>
  <cp:lastPrinted>2020-05-21T14:15:00Z</cp:lastPrinted>
  <dcterms:created xsi:type="dcterms:W3CDTF">2024-10-07T07:18:00Z</dcterms:created>
  <dcterms:modified xsi:type="dcterms:W3CDTF">2024-10-07T07:18:00Z</dcterms:modified>
</cp:coreProperties>
</file>