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20"/>
          <w:szCs w:val="12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Checkliste: Verm</w:t>
      </w:r>
      <w:r>
        <w:rPr>
          <w:rFonts w:ascii="Helvetica" w:hAnsi="Helvetica" w:hint="default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ö</w:t>
      </w:r>
      <w:r>
        <w:rPr>
          <w:rFonts w:ascii="Helvetica" w:hAnsi="Helvetica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gens-verwaltung im Verein</w:t>
      </w:r>
    </w:p>
    <w:p>
      <w:pPr>
        <w:pStyle w:val="H1"/>
      </w:pPr>
      <w: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1981835</wp:posOffset>
            </wp:positionH>
            <wp:positionV relativeFrom="page">
              <wp:posOffset>8735694</wp:posOffset>
            </wp:positionV>
            <wp:extent cx="3594100" cy="977900"/>
            <wp:effectExtent l="0" t="0" r="0" b="0"/>
            <wp:wrapSquare wrapText="bothSides" distL="57150" distR="57150" distT="57150" distB="57150"/>
            <wp:docPr id="1073741828" name="officeArt object" descr="Ein Bild, das Zeichnung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Ein Bild, das Zeichnung enthält.Automatisch generierte Beschreibung" descr="Ein Bild, das Zeichnung enthält.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-925194</wp:posOffset>
                </wp:positionH>
                <wp:positionV relativeFrom="line">
                  <wp:posOffset>8896350</wp:posOffset>
                </wp:positionV>
                <wp:extent cx="7611110" cy="727710"/>
                <wp:effectExtent l="0" t="0" r="0" b="0"/>
                <wp:wrapNone/>
                <wp:docPr id="1073741829" name="officeArt object" descr="Shape 6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110" cy="727710"/>
                        </a:xfrm>
                        <a:prstGeom prst="rect">
                          <a:avLst/>
                        </a:prstGeom>
                        <a:solidFill>
                          <a:srgbClr val="E4894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72.8pt;margin-top:700.5pt;width:599.3pt;height:57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E4894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: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 xml:space="preserve"> Verm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de-DE"/>
        </w:rPr>
        <w:t>ö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gensverwaltung im Verein</w:t>
      </w:r>
    </w:p>
    <w:tbl>
      <w:tblPr>
        <w:tblW w:w="8790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15"/>
        <w:gridCol w:w="1475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8790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41" w:hRule="atLeast"/>
        </w:trPr>
        <w:tc>
          <w:tcPr>
            <w:tcW w:type="dxa" w:w="7315"/>
            <w:tcBorders>
              <w:top w:val="single" w:color="000000" w:sz="1" w:space="0" w:shadow="0" w:frame="0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Einnahmen und Ausgaben der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gensverwaltung weisen wir in der Einnahmen-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berschuss-Rechnung getrennt von anderen steuerlichen 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tigkeitsbereichen aus.</w:t>
            </w:r>
          </w:p>
        </w:tc>
        <w:tc>
          <w:tcPr>
            <w:tcW w:type="dxa" w:w="1475"/>
            <w:tcBorders>
              <w:top w:val="single" w:color="000000" w:sz="1" w:space="0" w:shadow="0" w:frame="0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Der Bank weisen wir unsere Steuerbefreiung nach, damit uns Kapitalertr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 xml:space="preserve">ge ohne Abzug von Abgeltungssteuer gutgeschrieben werden. 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Langfristige Vermietung ordnen wir der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gensverwaltung zu, kurzfristige (z. B. tageweise) Vermietung dem steuerpflichtigen Gesch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ftsbetrieb.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Die Vergabe von Werberechten erfassen wir nur in der steuerfreien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gensverwaltung, wenn ein selbstst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ndiger P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chter (z. B. Werbeagentur) zwischengeschaltet ist.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Beteiligungen an Unternehmen k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nnen wir der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gensverwaltung zuordnen, wenn wir nicht aktiv Einfluss auf die Gesch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ftsf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hrung aus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ben.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gensverwaltung betreiben wir nicht als Selbstzweck. Verluste in der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gensverwaltung gleichen wir nicht mit zweckgebundenen Mitteln aus.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Mindestens zwei Drittel des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 legen wir sicher an, auch bei chancenorientierten Anlagen gehen wir keine unn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tigen Risiken ein.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Text"/>
            </w:pP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Bei der Verm</w:t>
            </w:r>
            <w:r>
              <w:rPr>
                <w:rFonts w:ascii="Helvetica" w:hAnsi="Helvetica" w:hint="default"/>
                <w:sz w:val="24"/>
                <w:szCs w:val="24"/>
                <w:rtl w:val="0"/>
                <w:lang w:val="de-DE"/>
              </w:rPr>
              <w:t>ö</w:t>
            </w: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gensanlage beachten wir ggf. bestehende Anlagerichtlinien unseres Vereins.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 w:val="1"/>
              <w:spacing w:before="60" w:after="60"/>
            </w:pPr>
            <w:r>
              <w:rPr>
                <w:rFonts w:ascii="Helvetica" w:hAnsi="Helvetica"/>
                <w:kern w:val="32"/>
                <w:rtl w:val="0"/>
                <w:lang w:val="de-DE"/>
              </w:rPr>
              <w:t>Darlehen, die nicht den Satzungszwecken dienen, vergeben wir gegen markt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>bliche Zinsen und mit ausreichender Besicherung.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 w:val="1"/>
              <w:spacing w:before="60" w:after="60"/>
            </w:pPr>
            <w:r>
              <w:rPr>
                <w:rFonts w:ascii="Helvetica" w:hAnsi="Helvetica"/>
                <w:kern w:val="32"/>
                <w:rtl w:val="0"/>
                <w:lang w:val="de-DE"/>
              </w:rPr>
              <w:t>Unseren Mitgliedern berichten wir j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 xml:space="preserve">hrlich 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>ber Wert und Zusammensetzung des Verm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 xml:space="preserve">gens sowie 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 xml:space="preserve">ber getroffene Anlageentscheidungen.  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widowControl w:val="0"/>
        <w:ind w:left="55" w:hanging="55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Redaktionell Verantwortliche: Kathrin Righi, Bonn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2410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Wingdings">
    <w:charset w:val="00"/>
    <w:family w:val="roman"/>
    <w:pitch w:val="default"/>
  </w:font>
  <w:font w:name="Helvetica Neue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  <w:ind w:left="142" w:firstLine="0"/>
    </w:pPr>
    <w:r>
      <w:rPr>
        <w:rFonts w:ascii="Helvetica" w:cs="Helvetica" w:hAnsi="Helvetica" w:eastAsia="Helvetica"/>
        <w:b w:val="1"/>
        <w:bCs w:val="1"/>
        <w:outline w:val="0"/>
        <w:color w:val="ffffff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-25399</wp:posOffset>
              </wp:positionH>
              <wp:positionV relativeFrom="page">
                <wp:posOffset>10794</wp:posOffset>
              </wp:positionV>
              <wp:extent cx="3456000" cy="597601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1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2.0pt;margin-top:0.8pt;width:272.1pt;height:47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Verm</w:t>
    </w:r>
    <w:r>
      <w:rPr>
        <w:rFonts w:ascii="Helvetica" w:hAnsi="Helvetica" w:hint="default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ö</w: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gensverwaltung im Verein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1">
    <w:name w:val="H1"/>
    <w:next w:val="H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DB1F6-A19B-4852-A8CE-A4C5E144F0CC}"/>
</file>

<file path=customXml/itemProps2.xml><?xml version="1.0" encoding="utf-8"?>
<ds:datastoreItem xmlns:ds="http://schemas.openxmlformats.org/officeDocument/2006/customXml" ds:itemID="{153F2F04-C8B2-4D76-B212-961FDE57E605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