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3FB48640" w14:textId="77777777" w:rsidR="00B51AFC" w:rsidRDefault="002232DD" w:rsidP="002232DD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Muster </w:t>
          </w:r>
        </w:p>
        <w:p w14:paraId="759E559E" w14:textId="6A0BC9BC" w:rsidR="00DC69D4" w:rsidRPr="00DC69D4" w:rsidRDefault="007F1DD2" w:rsidP="00DC69D4">
          <w:pPr>
            <w:pStyle w:val="H1"/>
            <w:rPr>
              <w:rFonts w:ascii="Calibri" w:hAnsi="Calibri"/>
              <w:sz w:val="24"/>
            </w:rPr>
          </w:pPr>
          <w:r w:rsidRPr="007F1DD2">
            <w:rPr>
              <w:rStyle w:val="berschrift1Zchn"/>
              <w:rFonts w:ascii="Helvetica" w:hAnsi="Helvetica"/>
              <w:bCs/>
              <w:color w:val="6D8E43"/>
              <w:sz w:val="124"/>
              <w:szCs w:val="124"/>
            </w:rPr>
            <w:t>Vereinsstrafen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1EA75B2A" w14:textId="25AE433D" w:rsidR="007B64CE" w:rsidRDefault="007B64CE" w:rsidP="002E7C1B">
      <w:pPr>
        <w:rPr>
          <w:rFonts w:ascii="Helvetica" w:hAnsi="Helvetica" w:cs="Helvetica"/>
          <w:bCs/>
          <w:sz w:val="36"/>
          <w:szCs w:val="36"/>
        </w:rPr>
      </w:pPr>
      <w:r>
        <w:rPr>
          <w:rFonts w:ascii="Helvetica" w:hAnsi="Helvetica" w:cs="Helvetica"/>
          <w:b/>
          <w:color w:val="6D8E43"/>
          <w:sz w:val="36"/>
          <w:szCs w:val="36"/>
        </w:rPr>
        <w:lastRenderedPageBreak/>
        <w:t>Muster:</w:t>
      </w:r>
      <w:r>
        <w:rPr>
          <w:rFonts w:ascii="Helvetica" w:hAnsi="Helvetica" w:cs="Helvetica"/>
          <w:bCs/>
          <w:sz w:val="36"/>
          <w:szCs w:val="36"/>
        </w:rPr>
        <w:t xml:space="preserve"> </w:t>
      </w:r>
      <w:r w:rsidR="002E7C1B">
        <w:rPr>
          <w:rFonts w:ascii="Helvetica" w:hAnsi="Helvetica" w:cs="Helvetica"/>
          <w:bCs/>
          <w:sz w:val="36"/>
          <w:szCs w:val="36"/>
        </w:rPr>
        <w:t>Formulierungsbeispiel Vereinsstrafen</w:t>
      </w:r>
    </w:p>
    <w:p w14:paraId="18DAA124" w14:textId="77777777" w:rsidR="00B51AFC" w:rsidRPr="00B51AFC" w:rsidRDefault="00B51AFC" w:rsidP="00B51AFC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43A0B7A5" w14:textId="77777777" w:rsidR="00852AFD" w:rsidRDefault="00852AFD" w:rsidP="00654754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1339B17E" w14:textId="77777777" w:rsidR="00852AFD" w:rsidRDefault="00852AFD" w:rsidP="00654754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7CFAB794" w14:textId="77777777" w:rsidR="002E7C1B" w:rsidRPr="002E7C1B" w:rsidRDefault="002E7C1B" w:rsidP="002E7C1B">
      <w:pPr>
        <w:jc w:val="both"/>
        <w:rPr>
          <w:rFonts w:ascii="Helvetica Light" w:eastAsia="Times New Roman" w:hAnsi="Helvetica Light" w:cs="Times New Roman"/>
          <w:b/>
          <w:bCs/>
          <w:lang w:eastAsia="de-DE"/>
        </w:rPr>
      </w:pPr>
      <w:r w:rsidRPr="002E7C1B">
        <w:rPr>
          <w:rFonts w:ascii="Helvetica Light" w:eastAsia="Times New Roman" w:hAnsi="Helvetica Light" w:cs="Times New Roman"/>
          <w:b/>
          <w:bCs/>
          <w:lang w:eastAsia="de-DE"/>
        </w:rPr>
        <w:t>§ XY Vereinsstrafen</w:t>
      </w:r>
    </w:p>
    <w:p w14:paraId="33440CDB" w14:textId="77777777" w:rsidR="00063122" w:rsidRDefault="00063122" w:rsidP="002E7C1B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0CD46C1F" w14:textId="0CB6A806" w:rsidR="00B51AFC" w:rsidRDefault="002E7C1B" w:rsidP="002E7C1B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2E7C1B">
        <w:rPr>
          <w:rFonts w:ascii="Helvetica Light" w:eastAsia="Times New Roman" w:hAnsi="Helvetica Light" w:cs="Times New Roman"/>
          <w:lang w:eastAsia="de-DE"/>
        </w:rPr>
        <w:t>1. Schuldhafte Verstöße gegen die Satzung, die bestehenden</w:t>
      </w:r>
      <w:r w:rsidR="00063122">
        <w:rPr>
          <w:rFonts w:ascii="Helvetica Light" w:eastAsia="Times New Roman" w:hAnsi="Helvetica Light" w:cs="Times New Roman"/>
          <w:lang w:eastAsia="de-DE"/>
        </w:rPr>
        <w:t xml:space="preserve"> </w:t>
      </w:r>
      <w:r w:rsidRPr="002E7C1B">
        <w:rPr>
          <w:rFonts w:ascii="Helvetica Light" w:eastAsia="Times New Roman" w:hAnsi="Helvetica Light" w:cs="Times New Roman"/>
          <w:lang w:eastAsia="de-DE"/>
        </w:rPr>
        <w:t>Vereinsordnungen und die Beschlüsse der</w:t>
      </w:r>
      <w:r w:rsidR="00063122">
        <w:rPr>
          <w:rFonts w:ascii="Helvetica Light" w:eastAsia="Times New Roman" w:hAnsi="Helvetica Light" w:cs="Times New Roman"/>
          <w:lang w:eastAsia="de-DE"/>
        </w:rPr>
        <w:t xml:space="preserve"> </w:t>
      </w:r>
      <w:r w:rsidRPr="002E7C1B">
        <w:rPr>
          <w:rFonts w:ascii="Helvetica Light" w:eastAsia="Times New Roman" w:hAnsi="Helvetica Light" w:cs="Times New Roman"/>
          <w:lang w:eastAsia="de-DE"/>
        </w:rPr>
        <w:t>Vereinsorgane können durch den Vorstand (alternativ:</w:t>
      </w:r>
      <w:r w:rsidR="00063122">
        <w:rPr>
          <w:rFonts w:ascii="Helvetica Light" w:eastAsia="Times New Roman" w:hAnsi="Helvetica Light" w:cs="Times New Roman"/>
          <w:lang w:eastAsia="de-DE"/>
        </w:rPr>
        <w:t xml:space="preserve"> </w:t>
      </w:r>
      <w:r w:rsidRPr="002E7C1B">
        <w:rPr>
          <w:rFonts w:ascii="Helvetica Light" w:eastAsia="Times New Roman" w:hAnsi="Helvetica Light" w:cs="Times New Roman"/>
          <w:lang w:eastAsia="de-DE"/>
        </w:rPr>
        <w:t>die Mitgliederversammlung, den Ehrenrat etc.)</w:t>
      </w:r>
      <w:r w:rsidR="00063122">
        <w:rPr>
          <w:rFonts w:ascii="Helvetica Light" w:eastAsia="Times New Roman" w:hAnsi="Helvetica Light" w:cs="Times New Roman"/>
          <w:lang w:eastAsia="de-DE"/>
        </w:rPr>
        <w:t xml:space="preserve"> </w:t>
      </w:r>
      <w:r w:rsidRPr="002E7C1B">
        <w:rPr>
          <w:rFonts w:ascii="Helvetica Light" w:eastAsia="Times New Roman" w:hAnsi="Helvetica Light" w:cs="Times New Roman"/>
          <w:lang w:eastAsia="de-DE"/>
        </w:rPr>
        <w:t>mit einer Vereinsstrafe belegt werden.</w:t>
      </w:r>
    </w:p>
    <w:p w14:paraId="30E3624F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1F9F380D" w14:textId="54ADF6D6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2. Mögliche Vereinsstrafen sind:</w:t>
      </w:r>
    </w:p>
    <w:p w14:paraId="3A361CEC" w14:textId="77777777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a) Ermahnung und Rüge,</w:t>
      </w:r>
    </w:p>
    <w:p w14:paraId="490052AD" w14:textId="77777777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b) Geldstrafen zwischen 5und 150 Euro,</w:t>
      </w:r>
    </w:p>
    <w:p w14:paraId="2C709D34" w14:textId="77777777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c) Entzug der Nutzungsrechte für (…)</w:t>
      </w:r>
    </w:p>
    <w:p w14:paraId="774B8C02" w14:textId="77777777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d) Aberkennung der Ehrenmitgliedschaft,</w:t>
      </w:r>
    </w:p>
    <w:p w14:paraId="28472ACE" w14:textId="77777777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e) Ausschluss aus dem Verein.</w:t>
      </w:r>
    </w:p>
    <w:p w14:paraId="7B8BD3C7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6E28CD51" w14:textId="70AC4EC1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3. Der Antrag auf Einleitung eines Verfahrens kann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durch jedes Mitglied oder dem Vorstand schriftlich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mit Begründung gestellt werden.</w:t>
      </w:r>
    </w:p>
    <w:p w14:paraId="7CF3F442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4AFD751C" w14:textId="03965D33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4. Die zu beachtenden Verfahrensvorschriften ergeben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sich aus der Strafordnung des Vereins, welche durch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die Mitgliederversammlung zu beschließen ist.</w:t>
      </w:r>
    </w:p>
    <w:p w14:paraId="1983CEB3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5B62B332" w14:textId="4EA7C9AF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5. Vor der Beschlussfassung ist dem Mitglied die Gelegenheit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zur Stellungnahme zu geben. Die Stellungnahme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ist innerhalb von zwei Wochen einzureichen.</w:t>
      </w:r>
    </w:p>
    <w:p w14:paraId="646D7EEF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5DCA5EB7" w14:textId="0A3D2C3F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6. Sofern der Vorstand (alternativ: die Mitgliederversammlung,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den Ehrenrat etc.) der Auffassung ist,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dass es sich um einen leichten Verstoß handelt und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das Mitglied bislang nicht gegen die Satzung oder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die bestehenden Vereinsordnungen verstoßen hat,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kann die Vereinsstrafe zur Bewährung ausgesetzt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werden.</w:t>
      </w:r>
    </w:p>
    <w:p w14:paraId="67CBB2E4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67026325" w14:textId="79B7CDEE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7. Verhängte Vereinsstrafen sind dem betroffenen Mitglied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schriftlich mit einer Begründung mitzuteilen.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Im Falle des Ausschlusses wird dieser zusätzlich in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der Vereinszeitschrift und im internen Bereich der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Vereinshomepage bekannt gegeben.</w:t>
      </w:r>
    </w:p>
    <w:p w14:paraId="2A55EC4E" w14:textId="77777777" w:rsid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19FD09F6" w14:textId="69C4976C" w:rsidR="00063122" w:rsidRPr="00063122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8. Gegen verhängte Vereinsstrafen kann das betroffene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Mitglied die Mitgliederversammlung anrufen.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Diese Berufung ist innerhalb von drei Wochen nach</w:t>
      </w:r>
    </w:p>
    <w:p w14:paraId="64284219" w14:textId="07A50CE6" w:rsidR="00063122" w:rsidRPr="00B51AFC" w:rsidRDefault="00063122" w:rsidP="00063122">
      <w:pPr>
        <w:jc w:val="both"/>
        <w:rPr>
          <w:rFonts w:ascii="Helvetica Light" w:eastAsia="Times New Roman" w:hAnsi="Helvetica Light" w:cs="Times New Roman"/>
          <w:lang w:eastAsia="de-DE"/>
        </w:rPr>
      </w:pPr>
      <w:r w:rsidRPr="00063122">
        <w:rPr>
          <w:rFonts w:ascii="Helvetica Light" w:eastAsia="Times New Roman" w:hAnsi="Helvetica Light" w:cs="Times New Roman"/>
          <w:lang w:eastAsia="de-DE"/>
        </w:rPr>
        <w:t>Bekanntgabe vorzunehmen. Versäumt das Mitglied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diese Frist, kann es den Beschluss nicht mehr angreifen</w:t>
      </w:r>
      <w:r>
        <w:rPr>
          <w:rFonts w:ascii="Helvetica Light" w:eastAsia="Times New Roman" w:hAnsi="Helvetica Light" w:cs="Times New Roman"/>
          <w:lang w:eastAsia="de-DE"/>
        </w:rPr>
        <w:t xml:space="preserve"> </w:t>
      </w:r>
      <w:r w:rsidRPr="00063122">
        <w:rPr>
          <w:rFonts w:ascii="Helvetica Light" w:eastAsia="Times New Roman" w:hAnsi="Helvetica Light" w:cs="Times New Roman"/>
          <w:lang w:eastAsia="de-DE"/>
        </w:rPr>
        <w:t>und die Vereinsstrafe wird rechtskräftig.</w:t>
      </w: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FD519A" w14:textId="07B2013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2E597BC" w14:textId="4CFAF1B2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21710CE" w14:textId="59EC9231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B13618" w14:textId="20751DD3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805D8BB" w14:textId="235856CD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06BA49" w14:textId="102544C2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CB8FD6" w14:textId="1C59B18D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7FD3987" w14:textId="0894C414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32EEC2" w14:textId="12FE6ADC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C7C744" w14:textId="5934449B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538E465" w14:textId="77777777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C5B308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2232DD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5E48" w14:textId="77777777" w:rsidR="00571820" w:rsidRDefault="00571820" w:rsidP="00B10EDD">
      <w:r>
        <w:separator/>
      </w:r>
    </w:p>
  </w:endnote>
  <w:endnote w:type="continuationSeparator" w:id="0">
    <w:p w14:paraId="48CCE8FC" w14:textId="77777777" w:rsidR="00571820" w:rsidRDefault="0057182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E2F5" w14:textId="77777777" w:rsidR="00571820" w:rsidRDefault="00571820" w:rsidP="00B10EDD">
      <w:r>
        <w:separator/>
      </w:r>
    </w:p>
  </w:footnote>
  <w:footnote w:type="continuationSeparator" w:id="0">
    <w:p w14:paraId="52993FE8" w14:textId="77777777" w:rsidR="00571820" w:rsidRDefault="0057182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42F7CEB5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7F1DD2">
      <w:rPr>
        <w:rFonts w:ascii="Helvetica" w:hAnsi="Helvetica"/>
        <w:b/>
        <w:bCs/>
        <w:color w:val="FFFFFF" w:themeColor="background1"/>
        <w:sz w:val="28"/>
        <w:szCs w:val="28"/>
      </w:rPr>
      <w:t>Vereinsstrafen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63122"/>
    <w:rsid w:val="001017D1"/>
    <w:rsid w:val="00165762"/>
    <w:rsid w:val="002232DD"/>
    <w:rsid w:val="00223641"/>
    <w:rsid w:val="002E7C1B"/>
    <w:rsid w:val="003106DF"/>
    <w:rsid w:val="0037704E"/>
    <w:rsid w:val="003A521E"/>
    <w:rsid w:val="00405545"/>
    <w:rsid w:val="00411AFA"/>
    <w:rsid w:val="00436BDD"/>
    <w:rsid w:val="004528C0"/>
    <w:rsid w:val="004B21AE"/>
    <w:rsid w:val="00506C2D"/>
    <w:rsid w:val="00523428"/>
    <w:rsid w:val="00571820"/>
    <w:rsid w:val="00575AA0"/>
    <w:rsid w:val="005C131E"/>
    <w:rsid w:val="0061095D"/>
    <w:rsid w:val="00654754"/>
    <w:rsid w:val="006926A0"/>
    <w:rsid w:val="006E74DE"/>
    <w:rsid w:val="00700D85"/>
    <w:rsid w:val="00716FA9"/>
    <w:rsid w:val="0073204C"/>
    <w:rsid w:val="007526D5"/>
    <w:rsid w:val="007615C3"/>
    <w:rsid w:val="007B64CE"/>
    <w:rsid w:val="007F1DD2"/>
    <w:rsid w:val="00801E60"/>
    <w:rsid w:val="00831F71"/>
    <w:rsid w:val="008404D3"/>
    <w:rsid w:val="00852AFD"/>
    <w:rsid w:val="00871F10"/>
    <w:rsid w:val="009035D1"/>
    <w:rsid w:val="00911A3F"/>
    <w:rsid w:val="00926100"/>
    <w:rsid w:val="00931818"/>
    <w:rsid w:val="009A36CC"/>
    <w:rsid w:val="009C49FF"/>
    <w:rsid w:val="00AF2715"/>
    <w:rsid w:val="00B10EDD"/>
    <w:rsid w:val="00B51AFC"/>
    <w:rsid w:val="00B654D1"/>
    <w:rsid w:val="00CA591B"/>
    <w:rsid w:val="00CE511D"/>
    <w:rsid w:val="00D76796"/>
    <w:rsid w:val="00D82CB0"/>
    <w:rsid w:val="00D851D7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CB570-C47F-4A4B-A542-ABF3ECCD51FE}"/>
</file>

<file path=customXml/itemProps2.xml><?xml version="1.0" encoding="utf-8"?>
<ds:datastoreItem xmlns:ds="http://schemas.openxmlformats.org/officeDocument/2006/customXml" ds:itemID="{DF02E99C-D4F3-4A37-AB85-EA6361578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KW - Kathrin Werner</cp:lastModifiedBy>
  <cp:revision>8</cp:revision>
  <cp:lastPrinted>2020-05-21T14:15:00Z</cp:lastPrinted>
  <dcterms:created xsi:type="dcterms:W3CDTF">2021-05-12T12:28:00Z</dcterms:created>
  <dcterms:modified xsi:type="dcterms:W3CDTF">2021-05-20T13:26:00Z</dcterms:modified>
</cp:coreProperties>
</file>